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CB6C30" w:rsidRPr="00B476FF" w14:paraId="7DF60760" w14:textId="77777777" w:rsidTr="00537889">
        <w:trPr>
          <w:trHeight w:val="259"/>
          <w:jc w:val="center"/>
        </w:trPr>
        <w:tc>
          <w:tcPr>
            <w:tcW w:w="3258" w:type="dxa"/>
            <w:shd w:val="clear" w:color="auto" w:fill="auto"/>
          </w:tcPr>
          <w:p w14:paraId="4EF89E79" w14:textId="77777777" w:rsidR="00CB6C30" w:rsidRPr="00CB6C30" w:rsidRDefault="00CB6C30" w:rsidP="00CB6C30">
            <w:pPr>
              <w:spacing w:line="239" w:lineRule="exact"/>
              <w:ind w:right="92"/>
              <w:rPr>
                <w:rFonts w:eastAsia="Caladea"/>
                <w:b/>
                <w:sz w:val="22"/>
                <w:szCs w:val="22"/>
                <w:lang w:val="tr-TR"/>
              </w:rPr>
            </w:pPr>
            <w:r w:rsidRPr="00CB6C30">
              <w:rPr>
                <w:rFonts w:eastAsia="Caladea"/>
                <w:b/>
                <w:sz w:val="22"/>
                <w:szCs w:val="22"/>
                <w:lang w:val="tr-TR"/>
              </w:rPr>
              <w:t>Birimi</w:t>
            </w:r>
          </w:p>
        </w:tc>
        <w:tc>
          <w:tcPr>
            <w:tcW w:w="6378" w:type="dxa"/>
          </w:tcPr>
          <w:p w14:paraId="32E45DFA" w14:textId="77777777" w:rsidR="00CB6C30" w:rsidRPr="00B476FF" w:rsidRDefault="00CB6C30" w:rsidP="002E61E3">
            <w:pPr>
              <w:spacing w:line="239" w:lineRule="exact"/>
              <w:ind w:left="107"/>
              <w:rPr>
                <w:rFonts w:eastAsia="Caladea"/>
                <w:sz w:val="22"/>
                <w:szCs w:val="22"/>
                <w:lang w:val="tr-TR"/>
              </w:rPr>
            </w:pPr>
            <w:r w:rsidRPr="00B476FF">
              <w:rPr>
                <w:rFonts w:eastAsia="Caladea"/>
                <w:sz w:val="22"/>
                <w:szCs w:val="22"/>
                <w:lang w:val="tr-TR"/>
              </w:rPr>
              <w:t>Bilgi İşlem Daire Başkanlığı</w:t>
            </w:r>
          </w:p>
        </w:tc>
      </w:tr>
      <w:tr w:rsidR="00CB6C30" w:rsidRPr="00B476FF" w14:paraId="7D9C122A" w14:textId="77777777" w:rsidTr="00537889">
        <w:trPr>
          <w:trHeight w:val="256"/>
          <w:jc w:val="center"/>
        </w:trPr>
        <w:tc>
          <w:tcPr>
            <w:tcW w:w="3258" w:type="dxa"/>
            <w:shd w:val="clear" w:color="auto" w:fill="auto"/>
          </w:tcPr>
          <w:p w14:paraId="6285D99F" w14:textId="77777777" w:rsidR="00CB6C30" w:rsidRPr="00CB6C30" w:rsidRDefault="00CB6C30" w:rsidP="00CB6C30">
            <w:pPr>
              <w:spacing w:line="236" w:lineRule="exact"/>
              <w:ind w:right="92"/>
              <w:rPr>
                <w:rFonts w:eastAsia="Caladea"/>
                <w:b/>
                <w:sz w:val="22"/>
                <w:szCs w:val="22"/>
                <w:lang w:val="tr-TR"/>
              </w:rPr>
            </w:pPr>
            <w:r w:rsidRPr="00CB6C30">
              <w:rPr>
                <w:rFonts w:eastAsia="Caladea"/>
                <w:b/>
                <w:sz w:val="22"/>
                <w:szCs w:val="22"/>
                <w:lang w:val="tr-TR"/>
              </w:rPr>
              <w:t>Görev Unvanı</w:t>
            </w:r>
          </w:p>
        </w:tc>
        <w:tc>
          <w:tcPr>
            <w:tcW w:w="6378" w:type="dxa"/>
          </w:tcPr>
          <w:p w14:paraId="43FA8A65" w14:textId="77777777" w:rsidR="00CB6C30" w:rsidRPr="00B476FF" w:rsidRDefault="00CB6C30" w:rsidP="002E61E3">
            <w:pPr>
              <w:spacing w:line="236" w:lineRule="exact"/>
              <w:ind w:left="107"/>
              <w:rPr>
                <w:rFonts w:eastAsia="Caladea"/>
                <w:sz w:val="22"/>
                <w:szCs w:val="22"/>
                <w:lang w:val="tr-TR"/>
              </w:rPr>
            </w:pPr>
            <w:r w:rsidRPr="00B476FF">
              <w:rPr>
                <w:rFonts w:eastAsia="Caladea"/>
                <w:sz w:val="22"/>
                <w:szCs w:val="22"/>
                <w:lang w:val="tr-TR"/>
              </w:rPr>
              <w:t>Taşınır Kayıt Yetkilisi</w:t>
            </w:r>
          </w:p>
        </w:tc>
      </w:tr>
      <w:tr w:rsidR="00CB6C30" w:rsidRPr="00B476FF" w14:paraId="2BFF42AC" w14:textId="77777777" w:rsidTr="00537889">
        <w:trPr>
          <w:trHeight w:val="258"/>
          <w:jc w:val="center"/>
        </w:trPr>
        <w:tc>
          <w:tcPr>
            <w:tcW w:w="3258" w:type="dxa"/>
            <w:shd w:val="clear" w:color="auto" w:fill="auto"/>
          </w:tcPr>
          <w:p w14:paraId="6771CE6A" w14:textId="77777777" w:rsidR="00CB6C30" w:rsidRPr="00CB6C30" w:rsidRDefault="00CB6C30" w:rsidP="00CB6C30">
            <w:pPr>
              <w:spacing w:line="239" w:lineRule="exact"/>
              <w:ind w:right="92"/>
              <w:rPr>
                <w:rFonts w:eastAsia="Caladea"/>
                <w:b/>
                <w:sz w:val="22"/>
                <w:szCs w:val="22"/>
                <w:lang w:val="tr-TR"/>
              </w:rPr>
            </w:pPr>
            <w:r w:rsidRPr="00CB6C30">
              <w:rPr>
                <w:rFonts w:eastAsia="Caladea"/>
                <w:b/>
                <w:sz w:val="22"/>
                <w:szCs w:val="22"/>
                <w:lang w:val="tr-TR"/>
              </w:rPr>
              <w:t>En Yakın Yönetici</w:t>
            </w:r>
          </w:p>
        </w:tc>
        <w:tc>
          <w:tcPr>
            <w:tcW w:w="6378" w:type="dxa"/>
          </w:tcPr>
          <w:p w14:paraId="1408ADC6" w14:textId="77777777" w:rsidR="00CB6C30" w:rsidRPr="00B476FF" w:rsidRDefault="00CB6C30" w:rsidP="002E61E3">
            <w:pPr>
              <w:spacing w:line="239" w:lineRule="exact"/>
              <w:ind w:left="107"/>
              <w:rPr>
                <w:rFonts w:eastAsia="Caladea"/>
                <w:sz w:val="22"/>
                <w:szCs w:val="22"/>
                <w:lang w:val="tr-TR"/>
              </w:rPr>
            </w:pPr>
            <w:r w:rsidRPr="00B476FF">
              <w:rPr>
                <w:rFonts w:eastAsia="Caladea"/>
                <w:sz w:val="22"/>
                <w:szCs w:val="22"/>
                <w:lang w:val="tr-TR"/>
              </w:rPr>
              <w:t>İdari Hizmetler Şefi/Teknik Destek Şube Müdürü/Daire Başkanı</w:t>
            </w:r>
          </w:p>
        </w:tc>
      </w:tr>
      <w:tr w:rsidR="00CB6C30" w:rsidRPr="00B476FF" w14:paraId="37C98190" w14:textId="77777777" w:rsidTr="00537889">
        <w:trPr>
          <w:trHeight w:val="258"/>
          <w:jc w:val="center"/>
        </w:trPr>
        <w:tc>
          <w:tcPr>
            <w:tcW w:w="3258" w:type="dxa"/>
            <w:shd w:val="clear" w:color="auto" w:fill="auto"/>
          </w:tcPr>
          <w:p w14:paraId="7AAD8DBB" w14:textId="77777777" w:rsidR="00CB6C30" w:rsidRPr="00CB6C30" w:rsidRDefault="00CB6C30" w:rsidP="00CB6C30">
            <w:pPr>
              <w:spacing w:line="239" w:lineRule="exact"/>
              <w:ind w:right="94"/>
              <w:rPr>
                <w:rFonts w:eastAsia="Caladea"/>
                <w:b/>
                <w:sz w:val="22"/>
                <w:szCs w:val="22"/>
                <w:lang w:val="tr-TR"/>
              </w:rPr>
            </w:pPr>
            <w:r w:rsidRPr="00CB6C30">
              <w:rPr>
                <w:rFonts w:eastAsia="Caladea"/>
                <w:b/>
                <w:sz w:val="22"/>
                <w:szCs w:val="22"/>
                <w:lang w:val="tr-TR"/>
              </w:rPr>
              <w:t>Yokluğunda Vekâlet Edecek</w:t>
            </w:r>
          </w:p>
        </w:tc>
        <w:tc>
          <w:tcPr>
            <w:tcW w:w="6378" w:type="dxa"/>
          </w:tcPr>
          <w:p w14:paraId="6F23498C" w14:textId="77777777" w:rsidR="00CB6C30" w:rsidRPr="00B476FF" w:rsidRDefault="00CB6C30" w:rsidP="002E61E3">
            <w:pPr>
              <w:spacing w:line="239" w:lineRule="exact"/>
              <w:ind w:left="107"/>
              <w:rPr>
                <w:rFonts w:eastAsia="Caladea"/>
                <w:sz w:val="22"/>
                <w:szCs w:val="22"/>
                <w:lang w:val="tr-TR"/>
              </w:rPr>
            </w:pPr>
            <w:r w:rsidRPr="00B476FF">
              <w:rPr>
                <w:rFonts w:eastAsia="Caladea"/>
                <w:sz w:val="22"/>
                <w:szCs w:val="22"/>
                <w:lang w:val="tr-TR"/>
              </w:rPr>
              <w:t>Görevlendirilen Personel</w:t>
            </w:r>
          </w:p>
        </w:tc>
      </w:tr>
    </w:tbl>
    <w:p w14:paraId="487C34F9" w14:textId="77777777" w:rsidR="00CB6C30" w:rsidRPr="00B476FF" w:rsidRDefault="00CB6C30" w:rsidP="00CB6C30">
      <w:pPr>
        <w:widowControl w:val="0"/>
        <w:autoSpaceDE w:val="0"/>
        <w:autoSpaceDN w:val="0"/>
        <w:spacing w:before="10"/>
        <w:rPr>
          <w:rFonts w:eastAsia="Caladea"/>
          <w:b/>
          <w:sz w:val="22"/>
          <w:szCs w:val="22"/>
          <w:lang w:val="tr-TR"/>
        </w:rPr>
      </w:pPr>
    </w:p>
    <w:tbl>
      <w:tblPr>
        <w:tblStyle w:val="TableNormal1"/>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CB6C30" w:rsidRPr="00B476FF" w14:paraId="5695E9DC" w14:textId="77777777" w:rsidTr="00537889">
        <w:trPr>
          <w:trHeight w:val="258"/>
          <w:jc w:val="center"/>
        </w:trPr>
        <w:tc>
          <w:tcPr>
            <w:tcW w:w="9636" w:type="dxa"/>
            <w:shd w:val="clear" w:color="auto" w:fill="auto"/>
          </w:tcPr>
          <w:p w14:paraId="60090F1E" w14:textId="77777777" w:rsidR="00CB6C30" w:rsidRPr="00B476FF" w:rsidRDefault="00CB6C30" w:rsidP="002E61E3">
            <w:pPr>
              <w:spacing w:line="239" w:lineRule="exact"/>
              <w:ind w:left="3275" w:right="3261"/>
              <w:jc w:val="center"/>
              <w:rPr>
                <w:rFonts w:eastAsia="Caladea"/>
                <w:b/>
                <w:sz w:val="22"/>
                <w:szCs w:val="22"/>
                <w:lang w:val="tr-TR"/>
              </w:rPr>
            </w:pPr>
            <w:r w:rsidRPr="00CB6C30">
              <w:rPr>
                <w:rFonts w:eastAsia="Caladea"/>
                <w:b/>
                <w:sz w:val="22"/>
                <w:szCs w:val="22"/>
                <w:lang w:val="tr-TR"/>
              </w:rPr>
              <w:t>Görevin/İşin Kısa Tanımı</w:t>
            </w:r>
          </w:p>
        </w:tc>
      </w:tr>
      <w:tr w:rsidR="00CB6C30" w:rsidRPr="00B476FF" w14:paraId="04E2CFCF" w14:textId="77777777" w:rsidTr="002E61E3">
        <w:trPr>
          <w:trHeight w:val="1288"/>
          <w:jc w:val="center"/>
        </w:trPr>
        <w:tc>
          <w:tcPr>
            <w:tcW w:w="9636" w:type="dxa"/>
          </w:tcPr>
          <w:p w14:paraId="50396F58" w14:textId="77777777" w:rsidR="00CB6C30" w:rsidRPr="00B476FF" w:rsidRDefault="00CB6C30" w:rsidP="002E61E3">
            <w:pPr>
              <w:spacing w:before="10"/>
              <w:rPr>
                <w:rFonts w:eastAsia="Caladea"/>
                <w:b/>
                <w:sz w:val="22"/>
                <w:szCs w:val="22"/>
                <w:lang w:val="tr-TR"/>
              </w:rPr>
            </w:pPr>
          </w:p>
          <w:p w14:paraId="46715551" w14:textId="1969B155" w:rsidR="00CB6C30" w:rsidRPr="00B476FF" w:rsidRDefault="00CB6C30" w:rsidP="002E61E3">
            <w:pPr>
              <w:ind w:left="110" w:right="93"/>
              <w:jc w:val="both"/>
              <w:rPr>
                <w:rFonts w:eastAsia="Caladea"/>
                <w:sz w:val="22"/>
                <w:szCs w:val="22"/>
                <w:lang w:val="tr-TR"/>
              </w:rPr>
            </w:pPr>
            <w:r w:rsidRPr="00B476FF">
              <w:rPr>
                <w:rFonts w:eastAsia="Caladea"/>
                <w:sz w:val="22"/>
                <w:szCs w:val="22"/>
                <w:lang w:val="tr-TR"/>
              </w:rPr>
              <w:t>Kayseri Üniversitesi üst yönetimi tarafından belirlenen amaç ve ilkelere uygun olarak; birimin tüm faaliyetleri</w:t>
            </w:r>
            <w:r w:rsidR="00225DEC">
              <w:rPr>
                <w:rFonts w:eastAsia="Caladea"/>
                <w:sz w:val="22"/>
                <w:szCs w:val="22"/>
                <w:lang w:val="tr-TR"/>
              </w:rPr>
              <w:t xml:space="preserve">nin </w:t>
            </w:r>
            <w:r w:rsidRPr="00B476FF">
              <w:rPr>
                <w:rFonts w:eastAsia="Caladea"/>
                <w:sz w:val="22"/>
                <w:szCs w:val="22"/>
                <w:lang w:val="tr-TR"/>
              </w:rPr>
              <w:t>etkenlik ve verimlilik ilkelerine uygun olarak yürütülmesi amacıyla büro işlerini yapar.</w:t>
            </w:r>
          </w:p>
        </w:tc>
      </w:tr>
    </w:tbl>
    <w:p w14:paraId="0C4AE157" w14:textId="77777777" w:rsidR="00CB6C30" w:rsidRPr="00B476FF" w:rsidRDefault="00CB6C30" w:rsidP="00CB6C30">
      <w:pPr>
        <w:widowControl w:val="0"/>
        <w:autoSpaceDE w:val="0"/>
        <w:autoSpaceDN w:val="0"/>
        <w:spacing w:before="1"/>
        <w:rPr>
          <w:rFonts w:eastAsia="Caladea"/>
          <w:b/>
          <w:sz w:val="22"/>
          <w:szCs w:val="22"/>
          <w:lang w:val="tr-TR"/>
        </w:rPr>
      </w:pPr>
    </w:p>
    <w:tbl>
      <w:tblPr>
        <w:tblStyle w:val="TableNormal1"/>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CB6C30" w:rsidRPr="00B476FF" w14:paraId="11C43BCC" w14:textId="77777777" w:rsidTr="00537889">
        <w:trPr>
          <w:trHeight w:val="258"/>
          <w:jc w:val="center"/>
        </w:trPr>
        <w:tc>
          <w:tcPr>
            <w:tcW w:w="9636" w:type="dxa"/>
            <w:shd w:val="clear" w:color="auto" w:fill="auto"/>
          </w:tcPr>
          <w:p w14:paraId="2FB36F5E" w14:textId="77777777" w:rsidR="00CB6C30" w:rsidRPr="00B476FF" w:rsidRDefault="00CB6C30" w:rsidP="002E61E3">
            <w:pPr>
              <w:tabs>
                <w:tab w:val="left" w:pos="6365"/>
              </w:tabs>
              <w:spacing w:line="239" w:lineRule="exact"/>
              <w:ind w:left="3111" w:right="3266"/>
              <w:jc w:val="center"/>
              <w:rPr>
                <w:rFonts w:eastAsia="Caladea"/>
                <w:b/>
                <w:sz w:val="22"/>
                <w:szCs w:val="22"/>
                <w:lang w:val="tr-TR"/>
              </w:rPr>
            </w:pPr>
            <w:r w:rsidRPr="00CB6C30">
              <w:rPr>
                <w:rFonts w:eastAsia="Caladea"/>
                <w:b/>
                <w:sz w:val="22"/>
                <w:szCs w:val="22"/>
                <w:lang w:val="tr-TR"/>
              </w:rPr>
              <w:t>Görev, Yetki ve Sorumluluklar</w:t>
            </w:r>
          </w:p>
        </w:tc>
      </w:tr>
      <w:tr w:rsidR="00CB6C30" w:rsidRPr="00B476FF" w14:paraId="01B8EDDB" w14:textId="77777777" w:rsidTr="002E61E3">
        <w:trPr>
          <w:trHeight w:val="5256"/>
          <w:jc w:val="center"/>
        </w:trPr>
        <w:tc>
          <w:tcPr>
            <w:tcW w:w="9636" w:type="dxa"/>
          </w:tcPr>
          <w:p w14:paraId="3036C200" w14:textId="77777777" w:rsidR="00CB6C30" w:rsidRPr="00B476FF" w:rsidRDefault="00CB6C30" w:rsidP="002E61E3">
            <w:pPr>
              <w:spacing w:before="10"/>
              <w:rPr>
                <w:rFonts w:eastAsia="Caladea"/>
                <w:b/>
                <w:sz w:val="22"/>
                <w:szCs w:val="22"/>
                <w:lang w:val="tr-TR"/>
              </w:rPr>
            </w:pPr>
          </w:p>
          <w:p w14:paraId="3FBD3904" w14:textId="77777777" w:rsidR="00CB6C30" w:rsidRPr="00B476FF" w:rsidRDefault="00CB6C30" w:rsidP="00CB6C30">
            <w:pPr>
              <w:numPr>
                <w:ilvl w:val="0"/>
                <w:numId w:val="4"/>
              </w:numPr>
              <w:tabs>
                <w:tab w:val="left" w:pos="860"/>
              </w:tabs>
              <w:spacing w:before="1"/>
              <w:ind w:right="94"/>
              <w:jc w:val="both"/>
              <w:rPr>
                <w:rFonts w:eastAsia="Caladea"/>
                <w:sz w:val="22"/>
                <w:szCs w:val="22"/>
                <w:lang w:val="tr-TR"/>
              </w:rPr>
            </w:pPr>
            <w:r w:rsidRPr="00B476FF">
              <w:rPr>
                <w:rFonts w:eastAsia="Caladea"/>
                <w:sz w:val="22"/>
                <w:szCs w:val="22"/>
                <w:lang w:val="tr-TR"/>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59411F13" w14:textId="77777777" w:rsidR="00CB6C30" w:rsidRPr="00B476FF" w:rsidRDefault="00CB6C30" w:rsidP="00CB6C30">
            <w:pPr>
              <w:numPr>
                <w:ilvl w:val="0"/>
                <w:numId w:val="4"/>
              </w:numPr>
              <w:tabs>
                <w:tab w:val="left" w:pos="860"/>
              </w:tabs>
              <w:spacing w:before="1" w:line="269" w:lineRule="exact"/>
              <w:ind w:hanging="361"/>
              <w:jc w:val="both"/>
              <w:rPr>
                <w:rFonts w:eastAsia="Caladea"/>
                <w:sz w:val="22"/>
                <w:szCs w:val="22"/>
                <w:lang w:val="tr-TR"/>
              </w:rPr>
            </w:pPr>
            <w:r w:rsidRPr="00B476FF">
              <w:rPr>
                <w:rFonts w:eastAsia="Caladea"/>
                <w:sz w:val="22"/>
                <w:szCs w:val="22"/>
                <w:lang w:val="tr-TR"/>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Birimden çıkan her türlü yazı ve dokümanı dağıtıma</w:t>
            </w:r>
            <w:r w:rsidRPr="00B476FF">
              <w:rPr>
                <w:rFonts w:eastAsia="Caladea"/>
                <w:spacing w:val="-7"/>
                <w:sz w:val="22"/>
                <w:szCs w:val="22"/>
                <w:lang w:val="tr-TR"/>
              </w:rPr>
              <w:t xml:space="preserve"> </w:t>
            </w:r>
            <w:r w:rsidRPr="00B476FF">
              <w:rPr>
                <w:rFonts w:eastAsia="Caladea"/>
                <w:sz w:val="22"/>
                <w:szCs w:val="22"/>
                <w:lang w:val="tr-TR"/>
              </w:rPr>
              <w:t>hazırlamak,</w:t>
            </w:r>
          </w:p>
          <w:p w14:paraId="325206D4" w14:textId="77777777" w:rsidR="00CB6C30" w:rsidRPr="00B476FF" w:rsidRDefault="00CB6C30" w:rsidP="00CB6C30">
            <w:pPr>
              <w:numPr>
                <w:ilvl w:val="0"/>
                <w:numId w:val="4"/>
              </w:numPr>
              <w:tabs>
                <w:tab w:val="left" w:pos="860"/>
              </w:tabs>
              <w:spacing w:before="1"/>
              <w:ind w:right="102"/>
              <w:jc w:val="both"/>
              <w:rPr>
                <w:rFonts w:eastAsia="Caladea"/>
                <w:sz w:val="22"/>
                <w:szCs w:val="22"/>
                <w:lang w:val="tr-TR"/>
              </w:rPr>
            </w:pPr>
            <w:r w:rsidRPr="00B476FF">
              <w:rPr>
                <w:rFonts w:eastAsia="Caladea"/>
                <w:sz w:val="22"/>
                <w:szCs w:val="22"/>
                <w:lang w:val="tr-TR"/>
              </w:rPr>
              <w:t>Taşınırların giriş ve çıkışına ilişkin kayıtları tutmak, bunlara ilişkin belge ve cetvelleri düzenlemek ve taşınır mal yönetim hesap cetvellerini istenilmesi halinde konsolide görevlisine göndermek.</w:t>
            </w:r>
          </w:p>
          <w:p w14:paraId="0FDCAE36" w14:textId="77777777" w:rsidR="00CB6C30" w:rsidRPr="00B476FF" w:rsidRDefault="00CB6C30" w:rsidP="00CB6C30">
            <w:pPr>
              <w:numPr>
                <w:ilvl w:val="0"/>
                <w:numId w:val="4"/>
              </w:numPr>
              <w:tabs>
                <w:tab w:val="left" w:pos="860"/>
              </w:tabs>
              <w:ind w:right="101"/>
              <w:jc w:val="both"/>
              <w:rPr>
                <w:rFonts w:eastAsia="Caladea"/>
                <w:sz w:val="22"/>
                <w:szCs w:val="22"/>
                <w:lang w:val="tr-TR"/>
              </w:rPr>
            </w:pPr>
            <w:r w:rsidRPr="00B476FF">
              <w:rPr>
                <w:rFonts w:eastAsia="Caladea"/>
                <w:sz w:val="22"/>
                <w:szCs w:val="22"/>
                <w:lang w:val="tr-TR"/>
              </w:rPr>
              <w:t>Tüketime veya kullanıma verilmesi uygun görülen taşınırları ilgililere teslim etmek.</w:t>
            </w:r>
          </w:p>
          <w:p w14:paraId="20141421"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Taşınırların yangına, ıslanmaya, bozulmaya, çalınmaya ve benzeri tehlikelere karşı korunması için gerekli tedbirleri almak ve alınmasını sağlamak.</w:t>
            </w:r>
          </w:p>
          <w:p w14:paraId="3D54E68B"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Ambarda çalınma veya olağanüstü nedenlerden dolayı meydana gelen azalmaları harcama yetkilisine bildirmek</w:t>
            </w:r>
          </w:p>
          <w:p w14:paraId="7D1D30F1"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Ambar sayımını ve stok kontrolünü yapmak, harcama yetkilisince belirlenen asgari stok seviyesinin altına düşen taşınırları harcama yetkilisine bildirmek.</w:t>
            </w:r>
          </w:p>
          <w:p w14:paraId="63EB9492"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Kullanımda bulunan dayanıklı taşınırları bulundukları yerde kontrol etmek, sayımlarını yapmak ve yaptırmak.</w:t>
            </w:r>
          </w:p>
          <w:p w14:paraId="5FAF8B2A"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Harcama biriminin malzeme ihtiyaç planlamasının yapılmasına yardımcı olmak.</w:t>
            </w:r>
          </w:p>
          <w:p w14:paraId="6C7ABA33"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Kayıtlarını tuttuğu taşınırların yönetim hesabını hazırlamak ve harcama yetkilisine sunulmak üzere taşınır kontrol yetkilisine teslim etmek.</w:t>
            </w:r>
          </w:p>
          <w:p w14:paraId="3B461E9A"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Ambarlarında kasıt, kusur, ihmal veya tedbirsizlikleri nedeniyle meydana gelen kayıp ve noksanlıklardan sorumlu olmak.</w:t>
            </w:r>
          </w:p>
          <w:p w14:paraId="0C10DF54" w14:textId="77777777" w:rsidR="00CB6C30" w:rsidRPr="00B476FF" w:rsidRDefault="00CB6C30" w:rsidP="00CB6C30">
            <w:pPr>
              <w:numPr>
                <w:ilvl w:val="0"/>
                <w:numId w:val="4"/>
              </w:numPr>
              <w:tabs>
                <w:tab w:val="left" w:pos="860"/>
              </w:tabs>
              <w:spacing w:before="1"/>
              <w:ind w:right="91"/>
              <w:jc w:val="both"/>
              <w:rPr>
                <w:rFonts w:eastAsia="Caladea"/>
                <w:sz w:val="22"/>
                <w:szCs w:val="22"/>
                <w:lang w:val="tr-TR"/>
              </w:rPr>
            </w:pPr>
            <w:r w:rsidRPr="00B476FF">
              <w:rPr>
                <w:rFonts w:eastAsia="Caladea"/>
                <w:sz w:val="22"/>
                <w:szCs w:val="22"/>
                <w:lang w:val="tr-TR"/>
              </w:rPr>
              <w:t>Ambarlarını devir ve teslim etmeden, görevlerinden ayrılmamak.</w:t>
            </w:r>
          </w:p>
          <w:p w14:paraId="7E5443C6" w14:textId="77777777" w:rsidR="00CB6C30" w:rsidRPr="00B476FF" w:rsidRDefault="00CB6C30" w:rsidP="002E61E3">
            <w:pPr>
              <w:tabs>
                <w:tab w:val="left" w:pos="860"/>
              </w:tabs>
              <w:spacing w:before="1"/>
              <w:ind w:left="859" w:right="91"/>
              <w:jc w:val="both"/>
              <w:rPr>
                <w:rFonts w:eastAsia="Caladea"/>
                <w:sz w:val="22"/>
                <w:szCs w:val="22"/>
                <w:lang w:val="tr-TR"/>
              </w:rPr>
            </w:pPr>
          </w:p>
        </w:tc>
      </w:tr>
    </w:tbl>
    <w:p w14:paraId="046047E9" w14:textId="06C4CF91" w:rsidR="00B46380" w:rsidRPr="00B46380" w:rsidRDefault="00B46380" w:rsidP="00B46380">
      <w:pPr>
        <w:rPr>
          <w:sz w:val="22"/>
          <w:szCs w:val="22"/>
        </w:rPr>
      </w:pPr>
    </w:p>
    <w:p w14:paraId="7CB36419" w14:textId="77777777" w:rsidR="00B46380" w:rsidRPr="00B46380" w:rsidRDefault="00CB6C30" w:rsidP="00B4638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46380" w:rsidRPr="00B46380">
        <w:rPr>
          <w:sz w:val="22"/>
          <w:szCs w:val="22"/>
        </w:rPr>
        <w:tab/>
      </w:r>
      <w:r w:rsidR="00B46380" w:rsidRPr="00B46380">
        <w:rPr>
          <w:sz w:val="22"/>
          <w:szCs w:val="22"/>
        </w:rPr>
        <w:tab/>
      </w:r>
      <w:r w:rsidR="00B46380" w:rsidRPr="00B46380">
        <w:rPr>
          <w:sz w:val="22"/>
          <w:szCs w:val="22"/>
        </w:rPr>
        <w:tab/>
      </w:r>
      <w:r w:rsidR="00B46380" w:rsidRPr="00B46380">
        <w:rPr>
          <w:sz w:val="22"/>
          <w:szCs w:val="22"/>
        </w:rPr>
        <w:tab/>
      </w:r>
      <w:r w:rsidR="00B46380" w:rsidRPr="00B46380">
        <w:rPr>
          <w:sz w:val="22"/>
          <w:szCs w:val="22"/>
        </w:rPr>
        <w:tab/>
      </w:r>
    </w:p>
    <w:p w14:paraId="0914049A" w14:textId="77777777" w:rsidR="00063071" w:rsidRPr="00CB6C30" w:rsidRDefault="00CB6C30" w:rsidP="00AE7B0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063071" w:rsidRPr="00CB6C30"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1AA4" w14:textId="77777777" w:rsidR="00AC60C1" w:rsidRDefault="00AC60C1" w:rsidP="00FF08A6">
      <w:r>
        <w:separator/>
      </w:r>
    </w:p>
  </w:endnote>
  <w:endnote w:type="continuationSeparator" w:id="0">
    <w:p w14:paraId="32573BB1" w14:textId="77777777" w:rsidR="00AC60C1" w:rsidRDefault="00AC60C1"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BEB" w14:textId="77777777" w:rsidR="00537889" w:rsidRDefault="005378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3E5257EB"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2A8FDD"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r w:rsidRPr="002C0635">
            <w:rPr>
              <w:rFonts w:eastAsia="Cambria"/>
              <w:b/>
              <w:sz w:val="22"/>
              <w:szCs w:val="22"/>
            </w:rPr>
            <w:t>Hazırlayan</w:t>
          </w:r>
        </w:p>
        <w:p w14:paraId="3ADDEF9F" w14:textId="77777777" w:rsidR="00151ABA" w:rsidRPr="002C0635" w:rsidRDefault="007F50F7" w:rsidP="00151ABA">
          <w:pPr>
            <w:pBdr>
              <w:top w:val="nil"/>
              <w:left w:val="nil"/>
              <w:bottom w:val="nil"/>
              <w:right w:val="nil"/>
              <w:between w:val="nil"/>
            </w:pBdr>
            <w:tabs>
              <w:tab w:val="center" w:pos="4536"/>
              <w:tab w:val="right" w:pos="9072"/>
            </w:tabs>
            <w:jc w:val="center"/>
            <w:rPr>
              <w:rFonts w:eastAsia="Cambria"/>
              <w:sz w:val="22"/>
              <w:szCs w:val="22"/>
            </w:rPr>
          </w:pPr>
          <w:r w:rsidRPr="002C0635">
            <w:rPr>
              <w:rFonts w:eastAsia="Cambria"/>
              <w:sz w:val="22"/>
              <w:szCs w:val="22"/>
            </w:rPr>
            <w:t>BKK</w:t>
          </w:r>
        </w:p>
        <w:p w14:paraId="6F3E7489"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p w14:paraId="4A099A70"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c>
        <w:tcPr>
          <w:tcW w:w="4817" w:type="dxa"/>
          <w:tcBorders>
            <w:top w:val="single" w:sz="4" w:space="0" w:color="BFBFBF"/>
            <w:left w:val="single" w:sz="4" w:space="0" w:color="BFBFBF"/>
            <w:bottom w:val="single" w:sz="4" w:space="0" w:color="BFBFBF"/>
            <w:right w:val="single" w:sz="4" w:space="0" w:color="BFBFBF"/>
          </w:tcBorders>
        </w:tcPr>
        <w:p w14:paraId="6D769F77"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r w:rsidRPr="002C0635">
            <w:rPr>
              <w:rFonts w:eastAsia="Cambria"/>
              <w:b/>
              <w:sz w:val="22"/>
              <w:szCs w:val="22"/>
            </w:rPr>
            <w:t>Onaylayan</w:t>
          </w:r>
        </w:p>
        <w:p w14:paraId="7AD07DD4" w14:textId="77777777" w:rsidR="00D17E25" w:rsidRPr="002C0635" w:rsidRDefault="007F50F7" w:rsidP="00151ABA">
          <w:pPr>
            <w:pBdr>
              <w:top w:val="nil"/>
              <w:left w:val="nil"/>
              <w:bottom w:val="nil"/>
              <w:right w:val="nil"/>
              <w:between w:val="nil"/>
            </w:pBdr>
            <w:tabs>
              <w:tab w:val="center" w:pos="4536"/>
              <w:tab w:val="right" w:pos="9072"/>
            </w:tabs>
            <w:jc w:val="center"/>
            <w:rPr>
              <w:rFonts w:eastAsia="Cambria"/>
              <w:sz w:val="22"/>
              <w:szCs w:val="22"/>
            </w:rPr>
          </w:pPr>
          <w:r w:rsidRPr="002C0635">
            <w:rPr>
              <w:rFonts w:eastAsia="Cambria"/>
              <w:sz w:val="22"/>
              <w:szCs w:val="22"/>
            </w:rPr>
            <w:t xml:space="preserve">KASGEM </w:t>
          </w:r>
        </w:p>
        <w:p w14:paraId="2B7839E9" w14:textId="77777777" w:rsidR="00D17E25" w:rsidRPr="002C0635"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r>
  </w:tbl>
  <w:p w14:paraId="780395A7"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175E" w14:textId="77777777" w:rsidR="00537889" w:rsidRDefault="005378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4586" w14:textId="77777777" w:rsidR="00AC60C1" w:rsidRDefault="00AC60C1" w:rsidP="00FF08A6">
      <w:r>
        <w:separator/>
      </w:r>
    </w:p>
  </w:footnote>
  <w:footnote w:type="continuationSeparator" w:id="0">
    <w:p w14:paraId="16950FFF" w14:textId="77777777" w:rsidR="00AC60C1" w:rsidRDefault="00AC60C1" w:rsidP="00FF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114B" w14:textId="77777777" w:rsidR="00537889" w:rsidRDefault="005378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18"/>
      <w:gridCol w:w="4893"/>
      <w:gridCol w:w="1743"/>
      <w:gridCol w:w="1485"/>
    </w:tblGrid>
    <w:tr w:rsidR="003528CF" w:rsidRPr="00537889" w14:paraId="0B698B31" w14:textId="77777777" w:rsidTr="00547F21">
      <w:trPr>
        <w:trHeight w:hRule="exact" w:val="284"/>
        <w:jc w:val="center"/>
      </w:trPr>
      <w:tc>
        <w:tcPr>
          <w:tcW w:w="1560" w:type="dxa"/>
          <w:vMerge w:val="restart"/>
          <w:vAlign w:val="center"/>
        </w:tcPr>
        <w:p w14:paraId="6053D1A1" w14:textId="77777777" w:rsidR="00FF08A6" w:rsidRPr="00537889" w:rsidRDefault="0068274F" w:rsidP="00A4726D">
          <w:pPr>
            <w:jc w:val="right"/>
            <w:rPr>
              <w:rFonts w:eastAsia="Cambria"/>
              <w:sz w:val="22"/>
              <w:szCs w:val="22"/>
            </w:rPr>
          </w:pPr>
          <w:r w:rsidRPr="00537889">
            <w:rPr>
              <w:rFonts w:eastAsia="Cambria"/>
              <w:sz w:val="22"/>
              <w:szCs w:val="22"/>
            </w:rPr>
            <w:object w:dxaOrig="6637" w:dyaOrig="5688" w14:anchorId="1C59E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aint.Picture" ShapeID="_x0000_i1025" DrawAspect="Content" ObjectID="_1705579726" r:id="rId2"/>
            </w:object>
          </w:r>
          <w:r w:rsidR="00A4726D" w:rsidRPr="00537889">
            <w:rPr>
              <w:rFonts w:eastAsia="Cambria"/>
              <w:sz w:val="22"/>
              <w:szCs w:val="22"/>
            </w:rPr>
            <w:t xml:space="preserve"> </w:t>
          </w:r>
        </w:p>
      </w:tc>
      <w:tc>
        <w:tcPr>
          <w:tcW w:w="5045" w:type="dxa"/>
          <w:vMerge w:val="restart"/>
          <w:tcBorders>
            <w:bottom w:val="single" w:sz="4" w:space="0" w:color="auto"/>
          </w:tcBorders>
          <w:vAlign w:val="center"/>
        </w:tcPr>
        <w:p w14:paraId="74A78455" w14:textId="598CB93F" w:rsidR="00225DEC" w:rsidRPr="00537889" w:rsidRDefault="00225DEC">
          <w:pPr>
            <w:rPr>
              <w:sz w:val="22"/>
              <w:szCs w:val="22"/>
            </w:rPr>
          </w:pPr>
        </w:p>
        <w:p w14:paraId="06AB9635" w14:textId="77777777" w:rsidR="00225DEC" w:rsidRPr="00537889" w:rsidRDefault="00225DEC">
          <w:pPr>
            <w:rPr>
              <w:sz w:val="22"/>
              <w:szCs w:val="22"/>
            </w:rPr>
          </w:pPr>
        </w:p>
        <w:tbl>
          <w:tblPr>
            <w:tblW w:w="4736" w:type="dxa"/>
            <w:jc w:val="center"/>
            <w:tblLayout w:type="fixed"/>
            <w:tblCellMar>
              <w:top w:w="15" w:type="dxa"/>
              <w:left w:w="15" w:type="dxa"/>
              <w:bottom w:w="15" w:type="dxa"/>
              <w:right w:w="15" w:type="dxa"/>
            </w:tblCellMar>
            <w:tblLook w:val="04A0" w:firstRow="1" w:lastRow="0" w:firstColumn="1" w:lastColumn="0" w:noHBand="0" w:noVBand="1"/>
          </w:tblPr>
          <w:tblGrid>
            <w:gridCol w:w="4736"/>
          </w:tblGrid>
          <w:tr w:rsidR="005F50D6" w:rsidRPr="00537889" w14:paraId="6FAEEED6" w14:textId="77777777" w:rsidTr="00225DEC">
            <w:trPr>
              <w:trHeight w:val="433"/>
              <w:jc w:val="center"/>
            </w:trPr>
            <w:tc>
              <w:tcPr>
                <w:tcW w:w="4736" w:type="dxa"/>
                <w:vMerge w:val="restart"/>
                <w:tcMar>
                  <w:top w:w="0" w:type="dxa"/>
                  <w:left w:w="108" w:type="dxa"/>
                  <w:bottom w:w="0" w:type="dxa"/>
                  <w:right w:w="108" w:type="dxa"/>
                </w:tcMar>
                <w:hideMark/>
              </w:tcPr>
              <w:p w14:paraId="0A9DECBA" w14:textId="77777777" w:rsidR="00CB6C30" w:rsidRPr="00537889" w:rsidRDefault="00CB6C30" w:rsidP="00CB6C30">
                <w:pPr>
                  <w:spacing w:line="276" w:lineRule="auto"/>
                  <w:jc w:val="center"/>
                  <w:rPr>
                    <w:rFonts w:eastAsia="Calibri"/>
                    <w:b/>
                    <w:bCs/>
                    <w:sz w:val="22"/>
                    <w:szCs w:val="22"/>
                    <w:lang w:val="tr-TR"/>
                  </w:rPr>
                </w:pPr>
                <w:r w:rsidRPr="00537889">
                  <w:rPr>
                    <w:rFonts w:eastAsia="Calibri"/>
                    <w:b/>
                    <w:bCs/>
                    <w:sz w:val="22"/>
                    <w:szCs w:val="22"/>
                    <w:lang w:val="tr-TR"/>
                  </w:rPr>
                  <w:t xml:space="preserve">BİLGİ İŞLEM DAİRE BAŞKANLIĞI TAŞINIR KAYIT YETKİLİSİ </w:t>
                </w:r>
              </w:p>
              <w:p w14:paraId="678F49E0" w14:textId="77777777" w:rsidR="00CB6C30" w:rsidRPr="00537889" w:rsidRDefault="00CB6C30" w:rsidP="00CB6C30">
                <w:pPr>
                  <w:spacing w:line="276" w:lineRule="auto"/>
                  <w:jc w:val="center"/>
                  <w:rPr>
                    <w:rFonts w:eastAsia="Calibri"/>
                    <w:b/>
                    <w:sz w:val="22"/>
                    <w:szCs w:val="22"/>
                    <w:lang w:val="tr-TR"/>
                  </w:rPr>
                </w:pPr>
                <w:r w:rsidRPr="00537889">
                  <w:rPr>
                    <w:rFonts w:eastAsia="Calibri"/>
                    <w:b/>
                    <w:bCs/>
                    <w:sz w:val="22"/>
                    <w:szCs w:val="22"/>
                    <w:lang w:val="tr-TR"/>
                  </w:rPr>
                  <w:t>GÖREV TANIMI</w:t>
                </w:r>
              </w:p>
              <w:p w14:paraId="7F11F9F4" w14:textId="77777777" w:rsidR="005F50D6" w:rsidRPr="00537889" w:rsidRDefault="005F50D6" w:rsidP="00CB6C30">
                <w:pPr>
                  <w:spacing w:line="276" w:lineRule="auto"/>
                  <w:jc w:val="center"/>
                  <w:rPr>
                    <w:rFonts w:eastAsia="Calibri"/>
                    <w:b/>
                    <w:color w:val="323E4F"/>
                    <w:sz w:val="22"/>
                    <w:szCs w:val="22"/>
                    <w:lang w:val="tr-TR"/>
                  </w:rPr>
                </w:pPr>
              </w:p>
            </w:tc>
          </w:tr>
          <w:tr w:rsidR="005F50D6" w:rsidRPr="00537889" w14:paraId="13479F1D" w14:textId="77777777" w:rsidTr="00225DEC">
            <w:trPr>
              <w:trHeight w:val="433"/>
              <w:jc w:val="center"/>
            </w:trPr>
            <w:tc>
              <w:tcPr>
                <w:tcW w:w="4736" w:type="dxa"/>
                <w:vMerge/>
                <w:vAlign w:val="center"/>
                <w:hideMark/>
              </w:tcPr>
              <w:p w14:paraId="250D88D8" w14:textId="77777777" w:rsidR="005F50D6" w:rsidRPr="00537889" w:rsidRDefault="005F50D6" w:rsidP="005F50D6">
                <w:pPr>
                  <w:spacing w:line="276" w:lineRule="auto"/>
                  <w:rPr>
                    <w:rFonts w:eastAsia="Calibri"/>
                    <w:b/>
                    <w:color w:val="323E4F"/>
                    <w:sz w:val="22"/>
                    <w:szCs w:val="22"/>
                    <w:lang w:val="tr-TR"/>
                  </w:rPr>
                </w:pPr>
              </w:p>
            </w:tc>
          </w:tr>
          <w:tr w:rsidR="005F50D6" w:rsidRPr="00537889" w14:paraId="1BF61FA7" w14:textId="77777777" w:rsidTr="00225DEC">
            <w:trPr>
              <w:trHeight w:val="433"/>
              <w:jc w:val="center"/>
            </w:trPr>
            <w:tc>
              <w:tcPr>
                <w:tcW w:w="4736" w:type="dxa"/>
                <w:vMerge/>
                <w:vAlign w:val="center"/>
                <w:hideMark/>
              </w:tcPr>
              <w:p w14:paraId="3DAFCA71" w14:textId="77777777" w:rsidR="005F50D6" w:rsidRPr="00537889" w:rsidRDefault="005F50D6" w:rsidP="005F50D6">
                <w:pPr>
                  <w:spacing w:line="276" w:lineRule="auto"/>
                  <w:rPr>
                    <w:rFonts w:eastAsia="Calibri"/>
                    <w:b/>
                    <w:color w:val="323E4F"/>
                    <w:sz w:val="22"/>
                    <w:szCs w:val="22"/>
                    <w:lang w:val="tr-TR"/>
                  </w:rPr>
                </w:pPr>
              </w:p>
            </w:tc>
          </w:tr>
          <w:tr w:rsidR="005F50D6" w:rsidRPr="00537889" w14:paraId="5EA0824A" w14:textId="77777777" w:rsidTr="00225DEC">
            <w:trPr>
              <w:trHeight w:val="433"/>
              <w:jc w:val="center"/>
            </w:trPr>
            <w:tc>
              <w:tcPr>
                <w:tcW w:w="4736" w:type="dxa"/>
                <w:vMerge/>
                <w:vAlign w:val="center"/>
                <w:hideMark/>
              </w:tcPr>
              <w:p w14:paraId="4C2911E6" w14:textId="77777777" w:rsidR="005F50D6" w:rsidRPr="00537889" w:rsidRDefault="005F50D6" w:rsidP="005F50D6">
                <w:pPr>
                  <w:spacing w:line="276" w:lineRule="auto"/>
                  <w:rPr>
                    <w:rFonts w:eastAsia="Calibri"/>
                    <w:b/>
                    <w:color w:val="323E4F"/>
                    <w:sz w:val="22"/>
                    <w:szCs w:val="22"/>
                    <w:lang w:val="tr-TR"/>
                  </w:rPr>
                </w:pPr>
              </w:p>
            </w:tc>
          </w:tr>
          <w:tr w:rsidR="005F50D6" w:rsidRPr="00537889" w14:paraId="4BD0DD7D" w14:textId="77777777" w:rsidTr="00225DEC">
            <w:trPr>
              <w:trHeight w:val="433"/>
              <w:jc w:val="center"/>
            </w:trPr>
            <w:tc>
              <w:tcPr>
                <w:tcW w:w="4736" w:type="dxa"/>
                <w:vMerge/>
                <w:vAlign w:val="center"/>
                <w:hideMark/>
              </w:tcPr>
              <w:p w14:paraId="4EB333A3" w14:textId="77777777" w:rsidR="005F50D6" w:rsidRPr="00537889" w:rsidRDefault="005F50D6" w:rsidP="005F50D6">
                <w:pPr>
                  <w:spacing w:line="276" w:lineRule="auto"/>
                  <w:rPr>
                    <w:rFonts w:eastAsia="Calibri"/>
                    <w:b/>
                    <w:color w:val="323E4F"/>
                    <w:sz w:val="22"/>
                    <w:szCs w:val="22"/>
                    <w:lang w:val="tr-TR"/>
                  </w:rPr>
                </w:pPr>
              </w:p>
            </w:tc>
          </w:tr>
        </w:tbl>
        <w:p w14:paraId="26CDE61E" w14:textId="77777777" w:rsidR="00AE7B0D" w:rsidRPr="00537889" w:rsidRDefault="00AE7B0D" w:rsidP="007F50F7">
          <w:pPr>
            <w:spacing w:line="276" w:lineRule="auto"/>
            <w:rPr>
              <w:rFonts w:eastAsia="Calibri"/>
              <w:b/>
              <w:color w:val="323E4F"/>
              <w:sz w:val="22"/>
              <w:szCs w:val="22"/>
            </w:rPr>
          </w:pPr>
        </w:p>
        <w:p w14:paraId="4401E158" w14:textId="77777777" w:rsidR="00AE7B0D" w:rsidRPr="00537889" w:rsidRDefault="00AE7B0D" w:rsidP="00AE7B0D">
          <w:pPr>
            <w:spacing w:line="276" w:lineRule="auto"/>
            <w:jc w:val="center"/>
            <w:rPr>
              <w:b/>
              <w:sz w:val="22"/>
              <w:szCs w:val="22"/>
            </w:rPr>
          </w:pPr>
        </w:p>
        <w:p w14:paraId="172EBBA5" w14:textId="77777777" w:rsidR="00AE7B0D" w:rsidRPr="00537889" w:rsidRDefault="00AE7B0D" w:rsidP="00AE7B0D">
          <w:pPr>
            <w:spacing w:line="276" w:lineRule="auto"/>
            <w:jc w:val="center"/>
            <w:rPr>
              <w:b/>
              <w:sz w:val="22"/>
              <w:szCs w:val="22"/>
            </w:rPr>
          </w:pPr>
        </w:p>
        <w:p w14:paraId="76E17823" w14:textId="77777777" w:rsidR="00AE7B0D" w:rsidRPr="00537889" w:rsidRDefault="00AE7B0D" w:rsidP="00AE7B0D">
          <w:pPr>
            <w:spacing w:line="276" w:lineRule="auto"/>
            <w:jc w:val="center"/>
            <w:rPr>
              <w:b/>
              <w:sz w:val="22"/>
              <w:szCs w:val="22"/>
            </w:rPr>
          </w:pPr>
        </w:p>
        <w:p w14:paraId="42CAD6B1" w14:textId="77777777" w:rsidR="00AE7B0D" w:rsidRPr="00537889" w:rsidRDefault="00AE7B0D" w:rsidP="00AE7B0D">
          <w:pPr>
            <w:spacing w:line="276" w:lineRule="auto"/>
            <w:jc w:val="center"/>
            <w:rPr>
              <w:b/>
              <w:sz w:val="22"/>
              <w:szCs w:val="22"/>
            </w:rPr>
          </w:pPr>
        </w:p>
        <w:p w14:paraId="7A9B276D" w14:textId="77777777" w:rsidR="00FF08A6" w:rsidRPr="00537889" w:rsidRDefault="00FF08A6" w:rsidP="00A4726D">
          <w:pPr>
            <w:spacing w:line="276" w:lineRule="auto"/>
            <w:jc w:val="center"/>
            <w:rPr>
              <w:b/>
              <w:sz w:val="22"/>
              <w:szCs w:val="22"/>
            </w:rPr>
          </w:pPr>
        </w:p>
      </w:tc>
      <w:tc>
        <w:tcPr>
          <w:tcW w:w="1792" w:type="dxa"/>
          <w:vAlign w:val="center"/>
        </w:tcPr>
        <w:p w14:paraId="2D448CB7" w14:textId="77777777" w:rsidR="00FF08A6" w:rsidRPr="00537889" w:rsidRDefault="00FF08A6" w:rsidP="00FF08A6">
          <w:pPr>
            <w:rPr>
              <w:sz w:val="22"/>
              <w:szCs w:val="22"/>
            </w:rPr>
          </w:pPr>
          <w:r w:rsidRPr="00537889">
            <w:rPr>
              <w:sz w:val="22"/>
              <w:szCs w:val="22"/>
            </w:rPr>
            <w:t>Doküman No</w:t>
          </w:r>
        </w:p>
      </w:tc>
      <w:tc>
        <w:tcPr>
          <w:tcW w:w="1526" w:type="dxa"/>
          <w:vAlign w:val="center"/>
        </w:tcPr>
        <w:p w14:paraId="39D715BB" w14:textId="766B89F6" w:rsidR="00FF08A6" w:rsidRPr="00537889" w:rsidRDefault="002C0635" w:rsidP="00FF08A6">
          <w:pPr>
            <w:rPr>
              <w:sz w:val="22"/>
              <w:szCs w:val="22"/>
            </w:rPr>
          </w:pPr>
          <w:r w:rsidRPr="00537889">
            <w:rPr>
              <w:sz w:val="22"/>
              <w:szCs w:val="22"/>
            </w:rPr>
            <w:t>GT</w:t>
          </w:r>
          <w:r w:rsidR="00FF08A6" w:rsidRPr="00537889">
            <w:rPr>
              <w:sz w:val="22"/>
              <w:szCs w:val="22"/>
            </w:rPr>
            <w:t>-</w:t>
          </w:r>
          <w:r w:rsidR="00225DEC" w:rsidRPr="00537889">
            <w:rPr>
              <w:sz w:val="22"/>
              <w:szCs w:val="22"/>
            </w:rPr>
            <w:t>140</w:t>
          </w:r>
        </w:p>
      </w:tc>
    </w:tr>
    <w:tr w:rsidR="003528CF" w:rsidRPr="00537889" w14:paraId="04B3FF50" w14:textId="77777777" w:rsidTr="00547F21">
      <w:trPr>
        <w:trHeight w:hRule="exact" w:val="284"/>
        <w:jc w:val="center"/>
      </w:trPr>
      <w:tc>
        <w:tcPr>
          <w:tcW w:w="1560" w:type="dxa"/>
          <w:vMerge/>
          <w:vAlign w:val="center"/>
        </w:tcPr>
        <w:p w14:paraId="6B0D8B9F"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01B25524"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3178FBA7" w14:textId="77777777" w:rsidR="00FF08A6" w:rsidRPr="00537889" w:rsidRDefault="00FF08A6" w:rsidP="00FF08A6">
          <w:pPr>
            <w:rPr>
              <w:sz w:val="22"/>
              <w:szCs w:val="22"/>
            </w:rPr>
          </w:pPr>
          <w:r w:rsidRPr="00537889">
            <w:rPr>
              <w:sz w:val="22"/>
              <w:szCs w:val="22"/>
            </w:rPr>
            <w:t>İlk Yayın Tarihi</w:t>
          </w:r>
        </w:p>
      </w:tc>
      <w:tc>
        <w:tcPr>
          <w:tcW w:w="1526" w:type="dxa"/>
          <w:vAlign w:val="center"/>
        </w:tcPr>
        <w:p w14:paraId="095B0AA5" w14:textId="506292F2" w:rsidR="00FF08A6" w:rsidRPr="00537889" w:rsidRDefault="00537889" w:rsidP="00FF08A6">
          <w:pPr>
            <w:rPr>
              <w:sz w:val="22"/>
              <w:szCs w:val="22"/>
            </w:rPr>
          </w:pPr>
          <w:r w:rsidRPr="00537889">
            <w:rPr>
              <w:sz w:val="22"/>
              <w:szCs w:val="22"/>
            </w:rPr>
            <w:t>8/02/2022</w:t>
          </w:r>
        </w:p>
      </w:tc>
    </w:tr>
    <w:tr w:rsidR="003528CF" w:rsidRPr="00537889" w14:paraId="4B3B7E0C" w14:textId="77777777" w:rsidTr="00547F21">
      <w:trPr>
        <w:trHeight w:hRule="exact" w:val="284"/>
        <w:jc w:val="center"/>
      </w:trPr>
      <w:tc>
        <w:tcPr>
          <w:tcW w:w="1560" w:type="dxa"/>
          <w:vMerge/>
          <w:vAlign w:val="center"/>
        </w:tcPr>
        <w:p w14:paraId="0856495A"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7148B864"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0DD6C519" w14:textId="77777777" w:rsidR="00FF08A6" w:rsidRPr="00537889" w:rsidRDefault="00FF08A6" w:rsidP="00FF08A6">
          <w:pPr>
            <w:rPr>
              <w:sz w:val="22"/>
              <w:szCs w:val="22"/>
            </w:rPr>
          </w:pPr>
          <w:r w:rsidRPr="00537889">
            <w:rPr>
              <w:sz w:val="22"/>
              <w:szCs w:val="22"/>
            </w:rPr>
            <w:t>Revizyon Tarihi</w:t>
          </w:r>
        </w:p>
      </w:tc>
      <w:tc>
        <w:tcPr>
          <w:tcW w:w="1526" w:type="dxa"/>
          <w:vAlign w:val="center"/>
        </w:tcPr>
        <w:p w14:paraId="035411CC" w14:textId="77777777" w:rsidR="00FF08A6" w:rsidRPr="00537889" w:rsidRDefault="00FF08A6" w:rsidP="00FF08A6">
          <w:pPr>
            <w:rPr>
              <w:sz w:val="22"/>
              <w:szCs w:val="22"/>
            </w:rPr>
          </w:pPr>
          <w:r w:rsidRPr="00537889">
            <w:rPr>
              <w:sz w:val="22"/>
              <w:szCs w:val="22"/>
            </w:rPr>
            <w:t>-</w:t>
          </w:r>
        </w:p>
      </w:tc>
    </w:tr>
    <w:tr w:rsidR="003528CF" w:rsidRPr="00537889" w14:paraId="5D215CCE" w14:textId="77777777" w:rsidTr="00547F21">
      <w:trPr>
        <w:trHeight w:hRule="exact" w:val="284"/>
        <w:jc w:val="center"/>
      </w:trPr>
      <w:tc>
        <w:tcPr>
          <w:tcW w:w="1560" w:type="dxa"/>
          <w:vMerge/>
          <w:vAlign w:val="center"/>
        </w:tcPr>
        <w:p w14:paraId="445F8261"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1F19A2ED"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358C0FDA" w14:textId="77777777" w:rsidR="00FF08A6" w:rsidRPr="00537889" w:rsidRDefault="00FF08A6" w:rsidP="00FF08A6">
          <w:pPr>
            <w:rPr>
              <w:sz w:val="22"/>
              <w:szCs w:val="22"/>
            </w:rPr>
          </w:pPr>
          <w:r w:rsidRPr="00537889">
            <w:rPr>
              <w:sz w:val="22"/>
              <w:szCs w:val="22"/>
            </w:rPr>
            <w:t>Revizyon No</w:t>
          </w:r>
        </w:p>
      </w:tc>
      <w:tc>
        <w:tcPr>
          <w:tcW w:w="1526" w:type="dxa"/>
          <w:vAlign w:val="center"/>
        </w:tcPr>
        <w:p w14:paraId="5948E90C" w14:textId="77777777" w:rsidR="00FF08A6" w:rsidRPr="00537889" w:rsidRDefault="007F50F7" w:rsidP="00FF08A6">
          <w:pPr>
            <w:rPr>
              <w:sz w:val="22"/>
              <w:szCs w:val="22"/>
            </w:rPr>
          </w:pPr>
          <w:r w:rsidRPr="00537889">
            <w:rPr>
              <w:sz w:val="22"/>
              <w:szCs w:val="22"/>
            </w:rPr>
            <w:t>0</w:t>
          </w:r>
        </w:p>
      </w:tc>
    </w:tr>
    <w:tr w:rsidR="003528CF" w:rsidRPr="00537889" w14:paraId="0DF1723D" w14:textId="77777777" w:rsidTr="00547F21">
      <w:trPr>
        <w:trHeight w:hRule="exact" w:val="284"/>
        <w:jc w:val="center"/>
      </w:trPr>
      <w:tc>
        <w:tcPr>
          <w:tcW w:w="1560" w:type="dxa"/>
          <w:vMerge/>
          <w:vAlign w:val="center"/>
        </w:tcPr>
        <w:p w14:paraId="63F236CE"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tcBorders>
          <w:vAlign w:val="center"/>
        </w:tcPr>
        <w:p w14:paraId="5E2D7339" w14:textId="77777777" w:rsidR="00FF08A6" w:rsidRPr="00537889"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10AA2B40" w14:textId="77777777" w:rsidR="00FF08A6" w:rsidRPr="00537889" w:rsidRDefault="00FF08A6" w:rsidP="00FF08A6">
          <w:pPr>
            <w:rPr>
              <w:sz w:val="22"/>
              <w:szCs w:val="22"/>
            </w:rPr>
          </w:pPr>
          <w:r w:rsidRPr="00537889">
            <w:rPr>
              <w:sz w:val="22"/>
              <w:szCs w:val="22"/>
            </w:rPr>
            <w:t>Sayfa No</w:t>
          </w:r>
        </w:p>
      </w:tc>
      <w:tc>
        <w:tcPr>
          <w:tcW w:w="1526" w:type="dxa"/>
          <w:vAlign w:val="center"/>
        </w:tcPr>
        <w:p w14:paraId="6B49EC0C" w14:textId="77777777" w:rsidR="00FF08A6" w:rsidRPr="00537889" w:rsidRDefault="00FF08A6" w:rsidP="00FF08A6">
          <w:pPr>
            <w:rPr>
              <w:sz w:val="22"/>
              <w:szCs w:val="22"/>
            </w:rPr>
          </w:pPr>
          <w:r w:rsidRPr="00537889">
            <w:rPr>
              <w:sz w:val="22"/>
              <w:szCs w:val="22"/>
            </w:rPr>
            <w:t>1/1</w:t>
          </w:r>
        </w:p>
      </w:tc>
    </w:tr>
  </w:tbl>
  <w:p w14:paraId="02B8349A"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26DF" w14:textId="77777777" w:rsidR="00537889" w:rsidRDefault="005378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3B5C"/>
    <w:multiLevelType w:val="hybridMultilevel"/>
    <w:tmpl w:val="FBB63C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27315D2"/>
    <w:multiLevelType w:val="hybridMultilevel"/>
    <w:tmpl w:val="9E3E1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582907"/>
    <w:multiLevelType w:val="multilevel"/>
    <w:tmpl w:val="7CE4A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lang w:val="tr-TR" w:eastAsia="en-US" w:bidi="ar-SA"/>
      </w:rPr>
    </w:lvl>
    <w:lvl w:ilvl="2" w:tplc="B78CE51C">
      <w:numFmt w:val="bullet"/>
      <w:lvlText w:val="•"/>
      <w:lvlJc w:val="left"/>
      <w:pPr>
        <w:ind w:left="2613" w:hanging="360"/>
      </w:pPr>
      <w:rPr>
        <w:lang w:val="tr-TR" w:eastAsia="en-US" w:bidi="ar-SA"/>
      </w:rPr>
    </w:lvl>
    <w:lvl w:ilvl="3" w:tplc="F8A4464E">
      <w:numFmt w:val="bullet"/>
      <w:lvlText w:val="•"/>
      <w:lvlJc w:val="left"/>
      <w:pPr>
        <w:ind w:left="3489" w:hanging="360"/>
      </w:pPr>
      <w:rPr>
        <w:lang w:val="tr-TR" w:eastAsia="en-US" w:bidi="ar-SA"/>
      </w:rPr>
    </w:lvl>
    <w:lvl w:ilvl="4" w:tplc="B452616E">
      <w:numFmt w:val="bullet"/>
      <w:lvlText w:val="•"/>
      <w:lvlJc w:val="left"/>
      <w:pPr>
        <w:ind w:left="4366" w:hanging="360"/>
      </w:pPr>
      <w:rPr>
        <w:lang w:val="tr-TR" w:eastAsia="en-US" w:bidi="ar-SA"/>
      </w:rPr>
    </w:lvl>
    <w:lvl w:ilvl="5" w:tplc="4726EB7C">
      <w:numFmt w:val="bullet"/>
      <w:lvlText w:val="•"/>
      <w:lvlJc w:val="left"/>
      <w:pPr>
        <w:ind w:left="5243" w:hanging="360"/>
      </w:pPr>
      <w:rPr>
        <w:lang w:val="tr-TR" w:eastAsia="en-US" w:bidi="ar-SA"/>
      </w:rPr>
    </w:lvl>
    <w:lvl w:ilvl="6" w:tplc="765066CE">
      <w:numFmt w:val="bullet"/>
      <w:lvlText w:val="•"/>
      <w:lvlJc w:val="left"/>
      <w:pPr>
        <w:ind w:left="6119" w:hanging="360"/>
      </w:pPr>
      <w:rPr>
        <w:lang w:val="tr-TR" w:eastAsia="en-US" w:bidi="ar-SA"/>
      </w:rPr>
    </w:lvl>
    <w:lvl w:ilvl="7" w:tplc="6C72DBCA">
      <w:numFmt w:val="bullet"/>
      <w:lvlText w:val="•"/>
      <w:lvlJc w:val="left"/>
      <w:pPr>
        <w:ind w:left="6996" w:hanging="360"/>
      </w:pPr>
      <w:rPr>
        <w:lang w:val="tr-TR" w:eastAsia="en-US" w:bidi="ar-SA"/>
      </w:rPr>
    </w:lvl>
    <w:lvl w:ilvl="8" w:tplc="5386B774">
      <w:numFmt w:val="bullet"/>
      <w:lvlText w:val="•"/>
      <w:lvlJc w:val="left"/>
      <w:pPr>
        <w:ind w:left="7872" w:hanging="360"/>
      </w:pPr>
      <w:rPr>
        <w:lang w:val="tr-TR"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63071"/>
    <w:rsid w:val="00151ABA"/>
    <w:rsid w:val="00152DAF"/>
    <w:rsid w:val="00225DEC"/>
    <w:rsid w:val="002754A0"/>
    <w:rsid w:val="002C0635"/>
    <w:rsid w:val="002E5890"/>
    <w:rsid w:val="00336BDC"/>
    <w:rsid w:val="003528CF"/>
    <w:rsid w:val="00367FFC"/>
    <w:rsid w:val="003D0F6C"/>
    <w:rsid w:val="00411010"/>
    <w:rsid w:val="0048082B"/>
    <w:rsid w:val="00537889"/>
    <w:rsid w:val="005433B4"/>
    <w:rsid w:val="00547F21"/>
    <w:rsid w:val="00554A93"/>
    <w:rsid w:val="005761A9"/>
    <w:rsid w:val="005F50D6"/>
    <w:rsid w:val="006065FD"/>
    <w:rsid w:val="00607331"/>
    <w:rsid w:val="006167D9"/>
    <w:rsid w:val="0068274F"/>
    <w:rsid w:val="006D67AC"/>
    <w:rsid w:val="007360CC"/>
    <w:rsid w:val="007967DC"/>
    <w:rsid w:val="007D48AB"/>
    <w:rsid w:val="007D5976"/>
    <w:rsid w:val="007F50F7"/>
    <w:rsid w:val="008E3FF8"/>
    <w:rsid w:val="008E4B99"/>
    <w:rsid w:val="0094687A"/>
    <w:rsid w:val="00961464"/>
    <w:rsid w:val="00A27661"/>
    <w:rsid w:val="00A33119"/>
    <w:rsid w:val="00A331EF"/>
    <w:rsid w:val="00A4726D"/>
    <w:rsid w:val="00AC60C1"/>
    <w:rsid w:val="00AC62D1"/>
    <w:rsid w:val="00AE7B0D"/>
    <w:rsid w:val="00B46380"/>
    <w:rsid w:val="00B63D44"/>
    <w:rsid w:val="00BD2C6B"/>
    <w:rsid w:val="00C7119C"/>
    <w:rsid w:val="00CB6C30"/>
    <w:rsid w:val="00CF0C15"/>
    <w:rsid w:val="00D16C4B"/>
    <w:rsid w:val="00D17E25"/>
    <w:rsid w:val="00E25097"/>
    <w:rsid w:val="00E40382"/>
    <w:rsid w:val="00EE0C78"/>
    <w:rsid w:val="00F40666"/>
    <w:rsid w:val="00F60628"/>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BBCD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0D"/>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06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F5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36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66">
      <w:bodyDiv w:val="1"/>
      <w:marLeft w:val="0"/>
      <w:marRight w:val="0"/>
      <w:marTop w:val="0"/>
      <w:marBottom w:val="0"/>
      <w:divBdr>
        <w:top w:val="none" w:sz="0" w:space="0" w:color="auto"/>
        <w:left w:val="none" w:sz="0" w:space="0" w:color="auto"/>
        <w:bottom w:val="none" w:sz="0" w:space="0" w:color="auto"/>
        <w:right w:val="none" w:sz="0" w:space="0" w:color="auto"/>
      </w:divBdr>
    </w:div>
    <w:div w:id="1172330140">
      <w:bodyDiv w:val="1"/>
      <w:marLeft w:val="0"/>
      <w:marRight w:val="0"/>
      <w:marTop w:val="0"/>
      <w:marBottom w:val="0"/>
      <w:divBdr>
        <w:top w:val="none" w:sz="0" w:space="0" w:color="auto"/>
        <w:left w:val="none" w:sz="0" w:space="0" w:color="auto"/>
        <w:bottom w:val="none" w:sz="0" w:space="0" w:color="auto"/>
        <w:right w:val="none" w:sz="0" w:space="0" w:color="auto"/>
      </w:divBdr>
    </w:div>
    <w:div w:id="1914004216">
      <w:bodyDiv w:val="1"/>
      <w:marLeft w:val="0"/>
      <w:marRight w:val="0"/>
      <w:marTop w:val="0"/>
      <w:marBottom w:val="0"/>
      <w:divBdr>
        <w:top w:val="none" w:sz="0" w:space="0" w:color="auto"/>
        <w:left w:val="none" w:sz="0" w:space="0" w:color="auto"/>
        <w:bottom w:val="none" w:sz="0" w:space="0" w:color="auto"/>
        <w:right w:val="none" w:sz="0" w:space="0" w:color="auto"/>
      </w:divBdr>
    </w:div>
    <w:div w:id="19791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39F1-4FD8-44F3-9C00-FBB798AD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2022-01-23T22:09:00Z</dcterms:created>
  <dcterms:modified xsi:type="dcterms:W3CDTF">2022-02-05T12:22:00Z</dcterms:modified>
</cp:coreProperties>
</file>