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81"/>
      </w:tblGrid>
      <w:tr w:rsidR="00A35A6E" w:rsidRPr="00A35A6E" w14:paraId="34EF60C1" w14:textId="77777777" w:rsidTr="00BC4E8A">
        <w:trPr>
          <w:trHeight w:val="259"/>
          <w:jc w:val="center"/>
        </w:trPr>
        <w:tc>
          <w:tcPr>
            <w:tcW w:w="3258" w:type="dxa"/>
            <w:shd w:val="clear" w:color="auto" w:fill="auto"/>
          </w:tcPr>
          <w:p w14:paraId="6ABEE138" w14:textId="77777777" w:rsidR="00A35A6E" w:rsidRPr="00A35A6E" w:rsidRDefault="00A35A6E" w:rsidP="00A35A6E">
            <w:pPr>
              <w:spacing w:line="239" w:lineRule="exact"/>
              <w:ind w:right="92"/>
              <w:rPr>
                <w:rFonts w:eastAsia="Caladea"/>
                <w:b/>
                <w:sz w:val="22"/>
                <w:szCs w:val="22"/>
                <w:lang w:val="tr-TR"/>
              </w:rPr>
            </w:pPr>
            <w:r w:rsidRPr="00A35A6E">
              <w:rPr>
                <w:rFonts w:eastAsia="Caladea"/>
                <w:b/>
                <w:sz w:val="22"/>
                <w:szCs w:val="22"/>
                <w:lang w:val="tr-TR"/>
              </w:rPr>
              <w:t>Birimi</w:t>
            </w:r>
          </w:p>
        </w:tc>
        <w:tc>
          <w:tcPr>
            <w:tcW w:w="6381" w:type="dxa"/>
          </w:tcPr>
          <w:p w14:paraId="37D3018D" w14:textId="77777777" w:rsidR="00A35A6E" w:rsidRPr="00A35A6E" w:rsidRDefault="00A35A6E" w:rsidP="00A35A6E">
            <w:pPr>
              <w:spacing w:line="239" w:lineRule="exact"/>
              <w:ind w:left="107"/>
              <w:rPr>
                <w:rFonts w:eastAsia="Caladea"/>
                <w:sz w:val="22"/>
                <w:szCs w:val="22"/>
                <w:lang w:val="tr-TR"/>
              </w:rPr>
            </w:pPr>
            <w:r w:rsidRPr="00A35A6E">
              <w:rPr>
                <w:rFonts w:eastAsia="Caladea"/>
                <w:sz w:val="22"/>
                <w:szCs w:val="22"/>
                <w:lang w:val="tr-TR"/>
              </w:rPr>
              <w:t>Bilgi İşlem Daire Başkanlığı</w:t>
            </w:r>
          </w:p>
        </w:tc>
      </w:tr>
      <w:tr w:rsidR="00A35A6E" w:rsidRPr="00A35A6E" w14:paraId="2F6ACB6F" w14:textId="77777777" w:rsidTr="00BC4E8A">
        <w:trPr>
          <w:trHeight w:val="256"/>
          <w:jc w:val="center"/>
        </w:trPr>
        <w:tc>
          <w:tcPr>
            <w:tcW w:w="3258" w:type="dxa"/>
            <w:shd w:val="clear" w:color="auto" w:fill="auto"/>
          </w:tcPr>
          <w:p w14:paraId="5E5FA07B" w14:textId="77777777" w:rsidR="00A35A6E" w:rsidRPr="00A35A6E" w:rsidRDefault="00A35A6E" w:rsidP="00A35A6E">
            <w:pPr>
              <w:spacing w:line="236" w:lineRule="exact"/>
              <w:ind w:right="92"/>
              <w:rPr>
                <w:rFonts w:eastAsia="Caladea"/>
                <w:b/>
                <w:sz w:val="22"/>
                <w:szCs w:val="22"/>
                <w:lang w:val="tr-TR"/>
              </w:rPr>
            </w:pPr>
            <w:r w:rsidRPr="00A35A6E">
              <w:rPr>
                <w:rFonts w:eastAsia="Caladea"/>
                <w:b/>
                <w:sz w:val="22"/>
                <w:szCs w:val="22"/>
                <w:lang w:val="tr-TR"/>
              </w:rPr>
              <w:t>Görev Unvanı</w:t>
            </w:r>
          </w:p>
        </w:tc>
        <w:tc>
          <w:tcPr>
            <w:tcW w:w="6381" w:type="dxa"/>
          </w:tcPr>
          <w:p w14:paraId="159C7CC2" w14:textId="77777777" w:rsidR="00A35A6E" w:rsidRPr="00A35A6E" w:rsidRDefault="00A35A6E" w:rsidP="00A35A6E">
            <w:pPr>
              <w:spacing w:line="236" w:lineRule="exact"/>
              <w:ind w:left="107"/>
              <w:rPr>
                <w:rFonts w:eastAsia="Caladea"/>
                <w:bCs/>
                <w:sz w:val="22"/>
                <w:szCs w:val="22"/>
                <w:lang w:val="tr-TR"/>
              </w:rPr>
            </w:pPr>
            <w:r w:rsidRPr="00A35A6E">
              <w:rPr>
                <w:rFonts w:eastAsia="Verdana"/>
                <w:bCs/>
                <w:sz w:val="22"/>
                <w:szCs w:val="22"/>
                <w:lang w:val="tr-TR"/>
              </w:rPr>
              <w:t>Şube Müdürü</w:t>
            </w:r>
          </w:p>
        </w:tc>
      </w:tr>
      <w:tr w:rsidR="00A35A6E" w:rsidRPr="00A35A6E" w14:paraId="1476B3BA" w14:textId="77777777" w:rsidTr="00BC4E8A">
        <w:trPr>
          <w:trHeight w:val="258"/>
          <w:jc w:val="center"/>
        </w:trPr>
        <w:tc>
          <w:tcPr>
            <w:tcW w:w="3258" w:type="dxa"/>
            <w:shd w:val="clear" w:color="auto" w:fill="auto"/>
          </w:tcPr>
          <w:p w14:paraId="2F0B3A91" w14:textId="77777777" w:rsidR="00A35A6E" w:rsidRPr="00A35A6E" w:rsidRDefault="00A35A6E" w:rsidP="00A35A6E">
            <w:pPr>
              <w:spacing w:line="239" w:lineRule="exact"/>
              <w:ind w:right="92"/>
              <w:rPr>
                <w:rFonts w:eastAsia="Caladea"/>
                <w:b/>
                <w:sz w:val="22"/>
                <w:szCs w:val="22"/>
                <w:lang w:val="tr-TR"/>
              </w:rPr>
            </w:pPr>
            <w:r w:rsidRPr="00A35A6E">
              <w:rPr>
                <w:rFonts w:eastAsia="Caladea"/>
                <w:b/>
                <w:sz w:val="22"/>
                <w:szCs w:val="22"/>
                <w:lang w:val="tr-TR"/>
              </w:rPr>
              <w:t>En Yakın Yönetici</w:t>
            </w:r>
          </w:p>
        </w:tc>
        <w:tc>
          <w:tcPr>
            <w:tcW w:w="6381" w:type="dxa"/>
          </w:tcPr>
          <w:p w14:paraId="5CD28CF6" w14:textId="77777777" w:rsidR="00A35A6E" w:rsidRPr="00A35A6E" w:rsidRDefault="00A35A6E" w:rsidP="00A35A6E">
            <w:pPr>
              <w:spacing w:line="239" w:lineRule="exact"/>
              <w:ind w:left="107"/>
              <w:rPr>
                <w:rFonts w:eastAsia="Caladea"/>
                <w:sz w:val="22"/>
                <w:szCs w:val="22"/>
                <w:lang w:val="tr-TR"/>
              </w:rPr>
            </w:pPr>
            <w:r w:rsidRPr="00A35A6E">
              <w:rPr>
                <w:rFonts w:eastAsia="Caladea"/>
                <w:sz w:val="22"/>
                <w:szCs w:val="22"/>
                <w:lang w:val="tr-TR"/>
              </w:rPr>
              <w:t>Bilgi İşlem Daire Başkanı/Genel Sekreter/Rektör</w:t>
            </w:r>
          </w:p>
        </w:tc>
      </w:tr>
      <w:tr w:rsidR="00A35A6E" w:rsidRPr="00A35A6E" w14:paraId="478E7BA3" w14:textId="77777777" w:rsidTr="00BC4E8A">
        <w:trPr>
          <w:trHeight w:val="258"/>
          <w:jc w:val="center"/>
        </w:trPr>
        <w:tc>
          <w:tcPr>
            <w:tcW w:w="3258" w:type="dxa"/>
            <w:shd w:val="clear" w:color="auto" w:fill="auto"/>
          </w:tcPr>
          <w:p w14:paraId="28D9B1CD" w14:textId="77777777" w:rsidR="00A35A6E" w:rsidRPr="00A35A6E" w:rsidRDefault="00A35A6E" w:rsidP="00A35A6E">
            <w:pPr>
              <w:spacing w:line="239" w:lineRule="exact"/>
              <w:ind w:right="94"/>
              <w:rPr>
                <w:rFonts w:eastAsia="Caladea"/>
                <w:b/>
                <w:sz w:val="22"/>
                <w:szCs w:val="22"/>
                <w:lang w:val="tr-TR"/>
              </w:rPr>
            </w:pPr>
            <w:r w:rsidRPr="00A35A6E">
              <w:rPr>
                <w:rFonts w:eastAsia="Caladea"/>
                <w:b/>
                <w:sz w:val="22"/>
                <w:szCs w:val="22"/>
                <w:lang w:val="tr-TR"/>
              </w:rPr>
              <w:t>Yokluğunda Vekâlet Edecek</w:t>
            </w:r>
          </w:p>
        </w:tc>
        <w:tc>
          <w:tcPr>
            <w:tcW w:w="6381" w:type="dxa"/>
          </w:tcPr>
          <w:p w14:paraId="4286C709" w14:textId="77777777" w:rsidR="00A35A6E" w:rsidRPr="00A35A6E" w:rsidRDefault="00A35A6E" w:rsidP="00A35A6E">
            <w:pPr>
              <w:spacing w:line="239" w:lineRule="exact"/>
              <w:ind w:left="107"/>
              <w:rPr>
                <w:rFonts w:eastAsia="Caladea"/>
                <w:sz w:val="22"/>
                <w:szCs w:val="22"/>
                <w:lang w:val="tr-TR"/>
              </w:rPr>
            </w:pPr>
            <w:r w:rsidRPr="00A35A6E">
              <w:rPr>
                <w:rFonts w:eastAsia="Caladea"/>
                <w:sz w:val="22"/>
                <w:szCs w:val="22"/>
                <w:lang w:val="tr-TR"/>
              </w:rPr>
              <w:t>Görevlendirilen Şube Müdürü</w:t>
            </w:r>
          </w:p>
        </w:tc>
      </w:tr>
    </w:tbl>
    <w:p w14:paraId="4029EE1D" w14:textId="77777777" w:rsidR="00A35A6E" w:rsidRPr="00A35A6E" w:rsidRDefault="00A35A6E" w:rsidP="00A35A6E">
      <w:pPr>
        <w:widowControl w:val="0"/>
        <w:autoSpaceDE w:val="0"/>
        <w:autoSpaceDN w:val="0"/>
        <w:spacing w:before="10"/>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A35A6E" w:rsidRPr="00A35A6E" w14:paraId="62B93B74" w14:textId="77777777" w:rsidTr="00BC4E8A">
        <w:trPr>
          <w:trHeight w:val="258"/>
          <w:jc w:val="center"/>
        </w:trPr>
        <w:tc>
          <w:tcPr>
            <w:tcW w:w="9639" w:type="dxa"/>
            <w:shd w:val="clear" w:color="auto" w:fill="auto"/>
          </w:tcPr>
          <w:p w14:paraId="23A09678" w14:textId="77777777" w:rsidR="00A35A6E" w:rsidRPr="00A35A6E" w:rsidRDefault="00A35A6E" w:rsidP="00A35A6E">
            <w:pPr>
              <w:spacing w:line="239" w:lineRule="exact"/>
              <w:ind w:left="3275" w:right="3261"/>
              <w:jc w:val="center"/>
              <w:rPr>
                <w:rFonts w:eastAsia="Caladea"/>
                <w:b/>
                <w:sz w:val="22"/>
                <w:szCs w:val="22"/>
                <w:lang w:val="tr-TR"/>
              </w:rPr>
            </w:pPr>
            <w:r w:rsidRPr="00A35A6E">
              <w:rPr>
                <w:rFonts w:eastAsia="Caladea"/>
                <w:b/>
                <w:sz w:val="22"/>
                <w:szCs w:val="22"/>
                <w:lang w:val="tr-TR"/>
              </w:rPr>
              <w:t>Görevin/İşin Kısa Tanımı</w:t>
            </w:r>
          </w:p>
        </w:tc>
      </w:tr>
      <w:tr w:rsidR="00A35A6E" w:rsidRPr="00A35A6E" w14:paraId="661353F5" w14:textId="77777777" w:rsidTr="00BC4E8A">
        <w:trPr>
          <w:trHeight w:val="786"/>
          <w:jc w:val="center"/>
        </w:trPr>
        <w:tc>
          <w:tcPr>
            <w:tcW w:w="9639" w:type="dxa"/>
            <w:shd w:val="clear" w:color="auto" w:fill="auto"/>
          </w:tcPr>
          <w:p w14:paraId="772AC461" w14:textId="77777777" w:rsidR="00A35A6E" w:rsidRPr="00A35A6E" w:rsidRDefault="00A35A6E" w:rsidP="00A35A6E">
            <w:pPr>
              <w:spacing w:before="10"/>
              <w:rPr>
                <w:rFonts w:eastAsia="Caladea"/>
                <w:b/>
                <w:sz w:val="22"/>
                <w:szCs w:val="22"/>
                <w:lang w:val="tr-TR"/>
              </w:rPr>
            </w:pPr>
          </w:p>
          <w:p w14:paraId="3EBCA504" w14:textId="77777777" w:rsidR="00A35A6E" w:rsidRPr="00A35A6E" w:rsidRDefault="00A35A6E" w:rsidP="00A35A6E">
            <w:pPr>
              <w:jc w:val="both"/>
              <w:rPr>
                <w:rFonts w:eastAsia="Caladea"/>
                <w:sz w:val="22"/>
                <w:szCs w:val="22"/>
                <w:lang w:val="tr-TR"/>
              </w:rPr>
            </w:pPr>
            <w:r w:rsidRPr="00A35A6E">
              <w:rPr>
                <w:rFonts w:eastAsia="Verdana"/>
                <w:sz w:val="22"/>
                <w:szCs w:val="22"/>
                <w:lang w:val="tr-TR"/>
              </w:rPr>
              <w:t>Üniversitemiz Bilgi Teknolojileri ihtiyaçlarını en verimli şekilde karşılamak ve yürütmek.</w:t>
            </w:r>
          </w:p>
        </w:tc>
      </w:tr>
    </w:tbl>
    <w:p w14:paraId="0E88BF1D" w14:textId="77777777" w:rsidR="00A35A6E" w:rsidRPr="00A35A6E" w:rsidRDefault="00A35A6E" w:rsidP="00A35A6E">
      <w:pPr>
        <w:widowControl w:val="0"/>
        <w:autoSpaceDE w:val="0"/>
        <w:autoSpaceDN w:val="0"/>
        <w:spacing w:before="1"/>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A35A6E" w:rsidRPr="00A35A6E" w14:paraId="59BD7CDC" w14:textId="77777777" w:rsidTr="00BC4E8A">
        <w:trPr>
          <w:trHeight w:val="258"/>
          <w:jc w:val="center"/>
        </w:trPr>
        <w:tc>
          <w:tcPr>
            <w:tcW w:w="9639" w:type="dxa"/>
            <w:shd w:val="clear" w:color="auto" w:fill="auto"/>
          </w:tcPr>
          <w:p w14:paraId="2F187E99" w14:textId="77777777" w:rsidR="00A35A6E" w:rsidRPr="00A35A6E" w:rsidRDefault="00A35A6E" w:rsidP="00A35A6E">
            <w:pPr>
              <w:spacing w:line="239" w:lineRule="exact"/>
              <w:ind w:left="3275" w:right="2828"/>
              <w:jc w:val="center"/>
              <w:rPr>
                <w:rFonts w:eastAsia="Caladea"/>
                <w:b/>
                <w:sz w:val="22"/>
                <w:szCs w:val="22"/>
                <w:lang w:val="tr-TR"/>
              </w:rPr>
            </w:pPr>
            <w:r w:rsidRPr="00A35A6E">
              <w:rPr>
                <w:rFonts w:eastAsia="Caladea"/>
                <w:b/>
                <w:sz w:val="22"/>
                <w:szCs w:val="22"/>
                <w:lang w:val="tr-TR"/>
              </w:rPr>
              <w:t>Görev, Yetki ve Sorumluluklar</w:t>
            </w:r>
          </w:p>
        </w:tc>
      </w:tr>
      <w:tr w:rsidR="00A35A6E" w:rsidRPr="00A35A6E" w14:paraId="77B83565" w14:textId="77777777" w:rsidTr="00BC4E8A">
        <w:trPr>
          <w:trHeight w:val="70"/>
          <w:jc w:val="center"/>
        </w:trPr>
        <w:tc>
          <w:tcPr>
            <w:tcW w:w="9639" w:type="dxa"/>
            <w:shd w:val="clear" w:color="auto" w:fill="auto"/>
          </w:tcPr>
          <w:p w14:paraId="556BF67C"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 xml:space="preserve">Başkanlık personelinin gerekli kişisel ve özlük bilgilerinin derlenmesi, her türlü izin, istirahat, geçici görev ve benzeri konulardaki kayıtları yürütmek, </w:t>
            </w:r>
          </w:p>
          <w:p w14:paraId="29DBE8D6"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 xml:space="preserve">Gelen, giden evrak kayıt, arşiv işlerini yürütmek, evrakların dosyalanması ve arşivlenmesi konusunda gerekli usulü belirlemek, tedbirleri almak ve uygulamak, Daire içi, kurum içi ve kurum dışı evrak akışını ve yazışmaları usulüne uygun olarak sağlamak, </w:t>
            </w:r>
          </w:p>
          <w:p w14:paraId="748021E5"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 xml:space="preserve">Başkanlık faaliyetlerini kapsayan iş ve işlemlerle ilgili stratejik plan, bütçe, muhasebe personel, araç ve benzeri idari faaliyetleri planlamak, yapmak /yaptırmak, </w:t>
            </w:r>
          </w:p>
          <w:p w14:paraId="72A14B52"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 xml:space="preserve">Başkanlık ayniyat kayıtlarını tutulması ve yıl sonu hesaplarını raporlamak </w:t>
            </w:r>
          </w:p>
          <w:p w14:paraId="30D36FD1"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 xml:space="preserve">Dairenin randevu, ziyaret, toplantı, günlük program, ulaşım ve muhabere işlerine ilişkin sekretarya hizmetlerini görmek, </w:t>
            </w:r>
          </w:p>
          <w:p w14:paraId="3A757579"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 xml:space="preserve">Gerekli idari malzemelerin temini / satın alma ve dağıtımını işlemlerini yapmak / yaptırmak ve kesintisiz hizmet alınmasını sağlamak. </w:t>
            </w:r>
          </w:p>
          <w:p w14:paraId="472886E9"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Bilgisayar sarf malzemelerinin stokunu izlemek, yedek parça ve yan ürünlerinin hizmeti aksatmadan teminini sağlamak ve takip ettirmek,</w:t>
            </w:r>
          </w:p>
          <w:p w14:paraId="78CC7E52"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 xml:space="preserve">Kullanıcılar için oluşacak ihtiyaçlara göre eğitim programları hazırlamak, yerinde eğitimin yanında alternatif eğitim programlarını araştırmak ve eğitimle ilgili destek hizmetlerini sağlamak. </w:t>
            </w:r>
          </w:p>
          <w:p w14:paraId="5816FC49"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Başkanlık içi ve dışı koordinasyonu gerektirecek işleri yürütmek ve takip etmek,</w:t>
            </w:r>
          </w:p>
          <w:p w14:paraId="04D956F6"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 xml:space="preserve">Bilgi İşlem Dairesi Başkanlığı bünyesinde kurulu olan ve tüm Üniversite teşkilatına hizmet veren Ana bilgisayar ve sunucular ile bu sistemlere bağlı olan donanımların sorunsuz bir şekilde işletilebilmesi için gerekli tüm önlemleri almak, iş prosedürlerini geliştirmek, </w:t>
            </w:r>
          </w:p>
          <w:p w14:paraId="20E9D810"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 xml:space="preserve">Sistem sunucu bilgisayar ihtiyacını belirlemek, kurulumu ve dağıtımı konularında uygulama planlarını hazırlamak, </w:t>
            </w:r>
          </w:p>
          <w:p w14:paraId="4612963C"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Sistemin sağlıklı ve emniyetli çalışmasını sağlayacak tedbirleri almak, tespit edilen eksiklik ve aksaklıkları derhal Başkanlığa bildirmek,</w:t>
            </w:r>
          </w:p>
          <w:p w14:paraId="521A4D05"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Bilgi gizliliğini, güvenliğini ve kişisel mahremiyetin korunması konusunda gerekli tedbirleri almak,</w:t>
            </w:r>
          </w:p>
          <w:p w14:paraId="56098EC2" w14:textId="77777777" w:rsidR="00A35A6E" w:rsidRPr="00A35A6E" w:rsidRDefault="00A35A6E" w:rsidP="00A35A6E">
            <w:pPr>
              <w:numPr>
                <w:ilvl w:val="0"/>
                <w:numId w:val="3"/>
              </w:numPr>
              <w:jc w:val="both"/>
              <w:rPr>
                <w:rFonts w:eastAsia="Arial"/>
                <w:sz w:val="22"/>
                <w:szCs w:val="22"/>
                <w:lang w:val="tr-TR"/>
              </w:rPr>
            </w:pPr>
            <w:r w:rsidRPr="00A35A6E">
              <w:rPr>
                <w:rFonts w:eastAsia="Arial"/>
                <w:sz w:val="22"/>
                <w:szCs w:val="22"/>
                <w:lang w:val="tr-TR"/>
              </w:rPr>
              <w:t>Sunucu ve kullanıcı bilgisayarların içeriden ve dışarıdan her turlu yetkisiz erişime ve benzeri tehditlere karşı korunması için gerekli tedbirleri almak,</w:t>
            </w:r>
          </w:p>
          <w:p w14:paraId="47B68F6E"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 xml:space="preserve">Bilgisayar iletişim ağını planlamak, tasarlamak ve kurmak, performans iyileştirme çalışmaları yapmak, </w:t>
            </w:r>
          </w:p>
          <w:p w14:paraId="41A93877"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 xml:space="preserve">Sistem ve sistemde tutulan verilerin belirlenen periyotlarda yedeğinin alınmasını sağlamak ve alınan yedekleri güvenli bir şekilde muhafaza etmek, </w:t>
            </w:r>
          </w:p>
          <w:p w14:paraId="13E80E57"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 xml:space="preserve">Rektörlük merkez ve taşra birimlerinin bilgisayar ve çevre birimlerine ait minimum standartları oluşturmak, teknik şartname hazırlamak, güncellemek Başkanlığın web sayfasında yayımlamak. </w:t>
            </w:r>
          </w:p>
          <w:p w14:paraId="487AE2AB"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Yerleşke içi uç kullanıcıların sorunlarına doğrudan çözüm bulmak. Bu çözümleri bir üst amire iletmek,</w:t>
            </w:r>
          </w:p>
          <w:p w14:paraId="2D568367" w14:textId="77777777"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Rektörlük merkez ile diğer birimlerin veya Başkanlık iş ve işlemlerinin bilgi teknolojileri kullanılarak, zamandan, insan gücünden, üretim maliyetlerinden tasarruf ederek daha kaliteli, vatandaş veya kurum odaklı hizmetlerin üretilebilmesi amacıyla projeler tasarlayarak yöneticilere sunmak,</w:t>
            </w:r>
          </w:p>
          <w:p w14:paraId="6AFBD29E" w14:textId="77777777" w:rsidR="00A35A6E" w:rsidRPr="00A17639" w:rsidRDefault="00A35A6E" w:rsidP="00A35A6E">
            <w:pPr>
              <w:spacing w:line="276" w:lineRule="auto"/>
              <w:ind w:left="859"/>
              <w:jc w:val="both"/>
              <w:rPr>
                <w:rFonts w:eastAsia="Verdana"/>
                <w:sz w:val="22"/>
                <w:szCs w:val="22"/>
                <w:lang w:val="tr-TR"/>
              </w:rPr>
            </w:pPr>
          </w:p>
          <w:p w14:paraId="59CBED2F" w14:textId="06BE29C4"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lastRenderedPageBreak/>
              <w:t>Üniversitemizin E-Posta hizmetlerinin yerine getirilmesi. Toplu mail gönderme   işlemlerinde kullanılmak üzere protokol e-posta listelerini güncel tutmak, akademik personele Proxy Server ayarlarını tanımlamak</w:t>
            </w:r>
            <w:r w:rsidR="00FC7DC0">
              <w:rPr>
                <w:rFonts w:eastAsia="Verdana"/>
                <w:sz w:val="22"/>
                <w:szCs w:val="22"/>
                <w:lang w:val="tr-TR"/>
              </w:rPr>
              <w:t>,</w:t>
            </w:r>
          </w:p>
          <w:p w14:paraId="7F571297" w14:textId="22850552"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 xml:space="preserve">Yöneticiler tarafından verilen veya uygun görülen projelerin iş süreçlerini hazırlamak, uygulanmasını ve </w:t>
            </w:r>
            <w:proofErr w:type="spellStart"/>
            <w:r w:rsidRPr="00A35A6E">
              <w:rPr>
                <w:rFonts w:eastAsia="Verdana"/>
                <w:sz w:val="22"/>
                <w:szCs w:val="22"/>
                <w:lang w:val="tr-TR"/>
              </w:rPr>
              <w:t>d</w:t>
            </w:r>
            <w:r w:rsidR="00FC7DC0">
              <w:rPr>
                <w:rFonts w:eastAsia="Verdana"/>
                <w:sz w:val="22"/>
                <w:szCs w:val="22"/>
                <w:lang w:val="tr-TR"/>
              </w:rPr>
              <w:t>o</w:t>
            </w:r>
            <w:r w:rsidRPr="00A35A6E">
              <w:rPr>
                <w:rFonts w:eastAsia="Verdana"/>
                <w:sz w:val="22"/>
                <w:szCs w:val="22"/>
                <w:lang w:val="tr-TR"/>
              </w:rPr>
              <w:t>kümante</w:t>
            </w:r>
            <w:proofErr w:type="spellEnd"/>
            <w:r w:rsidRPr="00A35A6E">
              <w:rPr>
                <w:rFonts w:eastAsia="Verdana"/>
                <w:sz w:val="22"/>
                <w:szCs w:val="22"/>
                <w:lang w:val="tr-TR"/>
              </w:rPr>
              <w:t xml:space="preserve"> edilmesini sağlamak, </w:t>
            </w:r>
          </w:p>
          <w:p w14:paraId="4A7127FC" w14:textId="77777777"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Projelerde, yazılım geliştirme, bilgi ve veri güvenliği standartlarını tespit etmek,</w:t>
            </w:r>
          </w:p>
          <w:p w14:paraId="7217D592" w14:textId="77777777"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 xml:space="preserve">Projelerde çözümleme çalışmalarını yapmak, uygulama modeli ve veri tabanı tasarımı oluşturmak, </w:t>
            </w:r>
          </w:p>
          <w:p w14:paraId="176938E1" w14:textId="77777777"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 xml:space="preserve">Tasarlanan projelerin gerektirdiği bilgisayar yazılımlarını geliştirmek, temin etmek ve uygulanabilir hale getirmek, </w:t>
            </w:r>
          </w:p>
          <w:p w14:paraId="3AB7C683" w14:textId="77777777"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Tasarım kriterleri doğrultusunda yazılım geliştirmek, ilgili birimlerle koordineli olarak testler yapmak/yaptırmak,</w:t>
            </w:r>
          </w:p>
          <w:p w14:paraId="374760F6" w14:textId="34DA815B"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Projelere ilişkin kullanım d</w:t>
            </w:r>
            <w:r w:rsidR="00FC7DC0">
              <w:rPr>
                <w:rFonts w:eastAsia="Verdana"/>
                <w:sz w:val="22"/>
                <w:szCs w:val="22"/>
                <w:lang w:val="tr-TR"/>
              </w:rPr>
              <w:t>o</w:t>
            </w:r>
            <w:r w:rsidRPr="00A35A6E">
              <w:rPr>
                <w:rFonts w:eastAsia="Verdana"/>
                <w:sz w:val="22"/>
                <w:szCs w:val="22"/>
                <w:lang w:val="tr-TR"/>
              </w:rPr>
              <w:t xml:space="preserve">kümanlarını hazırlamak, kullanımda karşılaşılan sorunların çözüm çalışmalarını yapmak/yaptırmak, </w:t>
            </w:r>
          </w:p>
          <w:p w14:paraId="485FA13F" w14:textId="77777777"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 xml:space="preserve">Üniversite içi bilgi akışını ve çalışmakta olan projelerin işleyişini izlemek, sorunları saptamak ve yapılması gereken düzenlemeleri üstlerine önermek, </w:t>
            </w:r>
          </w:p>
          <w:p w14:paraId="17B9CC99" w14:textId="77777777" w:rsidR="00A35A6E" w:rsidRPr="00A35A6E" w:rsidRDefault="00A35A6E" w:rsidP="00A35A6E">
            <w:pPr>
              <w:numPr>
                <w:ilvl w:val="0"/>
                <w:numId w:val="3"/>
              </w:numPr>
              <w:spacing w:line="276" w:lineRule="auto"/>
              <w:jc w:val="both"/>
              <w:rPr>
                <w:rFonts w:eastAsia="Verdana"/>
                <w:sz w:val="22"/>
                <w:szCs w:val="22"/>
                <w:lang w:val="tr-TR"/>
              </w:rPr>
            </w:pPr>
            <w:r w:rsidRPr="00A35A6E">
              <w:rPr>
                <w:rFonts w:eastAsia="Verdana"/>
                <w:sz w:val="22"/>
                <w:szCs w:val="22"/>
                <w:lang w:val="tr-TR"/>
              </w:rPr>
              <w:t xml:space="preserve">Tasarlanan projelerin etkin olarak uygulanabilmesi amacıyla, projede fiilen görev alması söz konusu olan personele gerekli belge ve bilgileri vermek, </w:t>
            </w:r>
          </w:p>
          <w:p w14:paraId="4DEAD3D6" w14:textId="77777777" w:rsidR="00A35A6E" w:rsidRPr="00A35A6E" w:rsidRDefault="00A35A6E" w:rsidP="00A35A6E">
            <w:pPr>
              <w:numPr>
                <w:ilvl w:val="0"/>
                <w:numId w:val="3"/>
              </w:numPr>
              <w:spacing w:line="276" w:lineRule="auto"/>
              <w:jc w:val="both"/>
              <w:rPr>
                <w:sz w:val="22"/>
                <w:szCs w:val="22"/>
                <w:lang w:val="tr-TR"/>
              </w:rPr>
            </w:pPr>
            <w:r w:rsidRPr="00A35A6E">
              <w:rPr>
                <w:rFonts w:eastAsia="Verdana"/>
                <w:sz w:val="22"/>
                <w:szCs w:val="22"/>
                <w:lang w:val="tr-TR"/>
              </w:rPr>
              <w:t>Üniversite içi uç kullanıcıların sorunlarına doğrudan çözüm bulmak. Bu çözümleri bir üst amire iletmek,</w:t>
            </w:r>
          </w:p>
          <w:p w14:paraId="44CD92CE" w14:textId="77777777" w:rsidR="00A35A6E" w:rsidRPr="00A35A6E" w:rsidRDefault="00A35A6E" w:rsidP="00A35A6E">
            <w:pPr>
              <w:numPr>
                <w:ilvl w:val="0"/>
                <w:numId w:val="3"/>
              </w:numPr>
              <w:spacing w:line="276" w:lineRule="auto"/>
              <w:jc w:val="both"/>
              <w:rPr>
                <w:sz w:val="22"/>
                <w:szCs w:val="22"/>
                <w:lang w:val="tr-TR"/>
              </w:rPr>
            </w:pPr>
            <w:r w:rsidRPr="00A35A6E">
              <w:rPr>
                <w:rFonts w:eastAsia="Verdana"/>
                <w:sz w:val="22"/>
                <w:szCs w:val="22"/>
                <w:lang w:val="tr-TR"/>
              </w:rPr>
              <w:t xml:space="preserve">Üniversitemiz bünyesinde kullanılan bilgisayar ve donanım ürünlerinin kurulum, bakım, onarım ve benzeri teknik destek sağlamak, </w:t>
            </w:r>
          </w:p>
          <w:p w14:paraId="1D85CF6A" w14:textId="77777777" w:rsidR="00A35A6E" w:rsidRPr="00A35A6E" w:rsidRDefault="00A35A6E" w:rsidP="00A35A6E">
            <w:pPr>
              <w:numPr>
                <w:ilvl w:val="0"/>
                <w:numId w:val="3"/>
              </w:numPr>
              <w:spacing w:line="276" w:lineRule="auto"/>
              <w:jc w:val="both"/>
              <w:rPr>
                <w:sz w:val="22"/>
                <w:szCs w:val="22"/>
                <w:lang w:val="tr-TR"/>
              </w:rPr>
            </w:pPr>
            <w:r w:rsidRPr="00A35A6E">
              <w:rPr>
                <w:rFonts w:eastAsia="Verdana"/>
                <w:sz w:val="22"/>
                <w:szCs w:val="22"/>
                <w:lang w:val="tr-TR"/>
              </w:rPr>
              <w:t xml:space="preserve">Bilişim hizmetlerinde kullanılan, kesintisiz güç kaynağı, sistem, altyapı cihazları ile ilgili olarak periyodik bakım, kontrol, arıza, yeni alım, teknik şartname hazırlanması gibi işleri gerektiğinde yapmak/yaptırmak veya destek vermek, </w:t>
            </w:r>
          </w:p>
          <w:p w14:paraId="3172E289" w14:textId="77777777" w:rsidR="00A35A6E" w:rsidRPr="00A35A6E" w:rsidRDefault="00A35A6E" w:rsidP="00A35A6E">
            <w:pPr>
              <w:numPr>
                <w:ilvl w:val="0"/>
                <w:numId w:val="3"/>
              </w:numPr>
              <w:spacing w:line="276" w:lineRule="auto"/>
              <w:jc w:val="both"/>
              <w:rPr>
                <w:sz w:val="22"/>
                <w:szCs w:val="22"/>
                <w:lang w:val="tr-TR"/>
              </w:rPr>
            </w:pPr>
            <w:r w:rsidRPr="00A35A6E">
              <w:rPr>
                <w:rFonts w:eastAsia="Verdana"/>
                <w:sz w:val="22"/>
                <w:szCs w:val="22"/>
                <w:lang w:val="tr-TR"/>
              </w:rPr>
              <w:t xml:space="preserve">Birimlerden gelen arızalı donanımların arıza listesini veri tabanında tutmak ve sağlıklı bir şekilde takibini yapmak, </w:t>
            </w:r>
          </w:p>
          <w:p w14:paraId="1F69711F" w14:textId="77777777" w:rsidR="00A35A6E" w:rsidRPr="00A35A6E" w:rsidRDefault="00A35A6E" w:rsidP="00A35A6E">
            <w:pPr>
              <w:numPr>
                <w:ilvl w:val="0"/>
                <w:numId w:val="3"/>
              </w:numPr>
              <w:spacing w:line="276" w:lineRule="auto"/>
              <w:jc w:val="both"/>
              <w:rPr>
                <w:sz w:val="22"/>
                <w:szCs w:val="22"/>
                <w:lang w:val="tr-TR"/>
              </w:rPr>
            </w:pPr>
            <w:r w:rsidRPr="00A35A6E">
              <w:rPr>
                <w:rFonts w:eastAsia="Verdana"/>
                <w:sz w:val="22"/>
                <w:szCs w:val="22"/>
                <w:lang w:val="tr-TR"/>
              </w:rPr>
              <w:t>İhtiyaç duyulduğunda gerekli birimlere bilgisayar hattı çekmek/çektirmek veya destek vermek</w:t>
            </w:r>
          </w:p>
          <w:p w14:paraId="2B257373" w14:textId="77777777" w:rsidR="00A35A6E" w:rsidRPr="00A35A6E" w:rsidRDefault="00A35A6E" w:rsidP="00A35A6E">
            <w:pPr>
              <w:numPr>
                <w:ilvl w:val="0"/>
                <w:numId w:val="3"/>
              </w:numPr>
              <w:spacing w:line="276" w:lineRule="auto"/>
              <w:jc w:val="both"/>
              <w:rPr>
                <w:sz w:val="22"/>
                <w:szCs w:val="22"/>
                <w:lang w:val="tr-TR"/>
              </w:rPr>
            </w:pPr>
            <w:r w:rsidRPr="00A35A6E">
              <w:rPr>
                <w:rFonts w:eastAsia="Verdana"/>
                <w:sz w:val="22"/>
                <w:szCs w:val="22"/>
                <w:lang w:val="tr-TR"/>
              </w:rPr>
              <w:t xml:space="preserve">Bilişim hizmetlerinde kullanılan, kesintisiz güç kaynağı, sistem, altyapı cihazları ile ilgili olarak periyodik bakım, kontrol, arıza, yeni alım, teknik şartname hazırlanması gibi işleri gerektiğinde yapmak/yaptırmak veya destek vermek, </w:t>
            </w:r>
          </w:p>
          <w:p w14:paraId="56CADDAA" w14:textId="77777777" w:rsidR="00A35A6E" w:rsidRPr="00A35A6E" w:rsidRDefault="00A35A6E" w:rsidP="00A35A6E">
            <w:pPr>
              <w:numPr>
                <w:ilvl w:val="0"/>
                <w:numId w:val="3"/>
              </w:numPr>
              <w:jc w:val="both"/>
              <w:rPr>
                <w:rFonts w:eastAsia="Caladea"/>
                <w:sz w:val="22"/>
                <w:szCs w:val="22"/>
                <w:lang w:val="tr-TR"/>
              </w:rPr>
            </w:pPr>
            <w:r w:rsidRPr="00A35A6E">
              <w:rPr>
                <w:rFonts w:eastAsia="Arial"/>
                <w:sz w:val="22"/>
                <w:szCs w:val="22"/>
                <w:lang w:val="tr-TR"/>
              </w:rPr>
              <w:t>Daire Başkanı tarafından verilen diğer görevleri yapmak.</w:t>
            </w:r>
          </w:p>
          <w:p w14:paraId="3FA6A943" w14:textId="77777777" w:rsidR="00A35A6E" w:rsidRPr="00A35A6E" w:rsidRDefault="00A35A6E" w:rsidP="00A35A6E">
            <w:pPr>
              <w:ind w:left="859"/>
              <w:jc w:val="both"/>
              <w:rPr>
                <w:rFonts w:eastAsia="Caladea"/>
                <w:sz w:val="22"/>
                <w:szCs w:val="22"/>
                <w:lang w:val="tr-TR"/>
              </w:rPr>
            </w:pPr>
          </w:p>
        </w:tc>
      </w:tr>
    </w:tbl>
    <w:p w14:paraId="50B930F8" w14:textId="77777777" w:rsidR="00B46380" w:rsidRPr="00B46380" w:rsidRDefault="00B46380" w:rsidP="00B46380">
      <w:pPr>
        <w:rPr>
          <w:sz w:val="22"/>
          <w:szCs w:val="22"/>
        </w:rPr>
      </w:pPr>
      <w:r w:rsidRPr="00A35A6E">
        <w:rPr>
          <w:sz w:val="22"/>
          <w:szCs w:val="22"/>
        </w:rPr>
        <w:lastRenderedPageBreak/>
        <w:tab/>
      </w:r>
      <w:r w:rsidRPr="00A35A6E">
        <w:rPr>
          <w:sz w:val="22"/>
          <w:szCs w:val="22"/>
        </w:rPr>
        <w:tab/>
      </w:r>
      <w:r w:rsidRPr="00A35A6E">
        <w:rPr>
          <w:sz w:val="22"/>
          <w:szCs w:val="22"/>
        </w:rPr>
        <w:tab/>
      </w:r>
      <w:r w:rsidRPr="00A35A6E">
        <w:rPr>
          <w:sz w:val="22"/>
          <w:szCs w:val="22"/>
        </w:rPr>
        <w:tab/>
      </w:r>
      <w:r w:rsidRPr="00A35A6E">
        <w:rPr>
          <w:sz w:val="22"/>
          <w:szCs w:val="22"/>
        </w:rPr>
        <w:tab/>
      </w:r>
      <w:r w:rsidRPr="00A35A6E">
        <w:rPr>
          <w:sz w:val="22"/>
          <w:szCs w:val="22"/>
        </w:rPr>
        <w:tab/>
      </w:r>
      <w:r w:rsidRPr="00A35A6E">
        <w:rPr>
          <w:sz w:val="22"/>
          <w:szCs w:val="22"/>
        </w:rPr>
        <w:tab/>
      </w:r>
      <w:r w:rsidRPr="00A35A6E">
        <w:rPr>
          <w:sz w:val="22"/>
          <w:szCs w:val="22"/>
        </w:rPr>
        <w:tab/>
      </w:r>
      <w:r w:rsidRPr="00B46380">
        <w:rPr>
          <w:sz w:val="22"/>
          <w:szCs w:val="22"/>
        </w:rPr>
        <w:tab/>
      </w:r>
    </w:p>
    <w:p w14:paraId="6B986EAF" w14:textId="77777777" w:rsidR="00B46380" w:rsidRPr="00B46380" w:rsidRDefault="00B46380" w:rsidP="00B46380">
      <w:pPr>
        <w:rPr>
          <w:sz w:val="22"/>
          <w:szCs w:val="22"/>
        </w:rPr>
      </w:pP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p>
    <w:p w14:paraId="51DB328C" w14:textId="77777777" w:rsidR="00B46380" w:rsidRPr="00B46380" w:rsidRDefault="00B46380" w:rsidP="00B46380">
      <w:pPr>
        <w:rPr>
          <w:sz w:val="22"/>
          <w:szCs w:val="22"/>
        </w:rPr>
      </w:pP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r w:rsidRPr="00B46380">
        <w:rPr>
          <w:sz w:val="22"/>
          <w:szCs w:val="22"/>
        </w:rPr>
        <w:tab/>
      </w:r>
    </w:p>
    <w:p w14:paraId="612F122E" w14:textId="77777777" w:rsidR="00063071" w:rsidRDefault="00063071" w:rsidP="00AE7B0D"/>
    <w:sectPr w:rsidR="00063071" w:rsidSect="00A4726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6E6E" w14:textId="77777777" w:rsidR="002A65C3" w:rsidRDefault="002A65C3" w:rsidP="00FF08A6">
      <w:r>
        <w:separator/>
      </w:r>
    </w:p>
  </w:endnote>
  <w:endnote w:type="continuationSeparator" w:id="0">
    <w:p w14:paraId="556049B8" w14:textId="77777777" w:rsidR="002A65C3" w:rsidRDefault="002A65C3" w:rsidP="00F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CB1B" w14:textId="77777777" w:rsidR="00BC4E8A" w:rsidRDefault="00BC4E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3E438BF"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EC8B8E4"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roofErr w:type="spellStart"/>
          <w:r w:rsidRPr="002C0635">
            <w:rPr>
              <w:rFonts w:eastAsia="Cambria"/>
              <w:b/>
              <w:sz w:val="22"/>
              <w:szCs w:val="22"/>
            </w:rPr>
            <w:t>Hazırlayan</w:t>
          </w:r>
          <w:proofErr w:type="spellEnd"/>
        </w:p>
        <w:p w14:paraId="0569D6C0" w14:textId="77777777" w:rsidR="00151ABA" w:rsidRPr="002C0635" w:rsidRDefault="007F50F7" w:rsidP="00151ABA">
          <w:pPr>
            <w:pBdr>
              <w:top w:val="nil"/>
              <w:left w:val="nil"/>
              <w:bottom w:val="nil"/>
              <w:right w:val="nil"/>
              <w:between w:val="nil"/>
            </w:pBdr>
            <w:tabs>
              <w:tab w:val="center" w:pos="4536"/>
              <w:tab w:val="right" w:pos="9072"/>
            </w:tabs>
            <w:jc w:val="center"/>
            <w:rPr>
              <w:rFonts w:eastAsia="Cambria"/>
              <w:sz w:val="22"/>
              <w:szCs w:val="22"/>
            </w:rPr>
          </w:pPr>
          <w:r w:rsidRPr="002C0635">
            <w:rPr>
              <w:rFonts w:eastAsia="Cambria"/>
              <w:sz w:val="22"/>
              <w:szCs w:val="22"/>
            </w:rPr>
            <w:t>BKK</w:t>
          </w:r>
        </w:p>
        <w:p w14:paraId="48604802"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
        <w:p w14:paraId="30B760C6"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
      </w:tc>
      <w:tc>
        <w:tcPr>
          <w:tcW w:w="4817" w:type="dxa"/>
          <w:tcBorders>
            <w:top w:val="single" w:sz="4" w:space="0" w:color="BFBFBF"/>
            <w:left w:val="single" w:sz="4" w:space="0" w:color="BFBFBF"/>
            <w:bottom w:val="single" w:sz="4" w:space="0" w:color="BFBFBF"/>
            <w:right w:val="single" w:sz="4" w:space="0" w:color="BFBFBF"/>
          </w:tcBorders>
        </w:tcPr>
        <w:p w14:paraId="060862ED"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roofErr w:type="spellStart"/>
          <w:r w:rsidRPr="002C0635">
            <w:rPr>
              <w:rFonts w:eastAsia="Cambria"/>
              <w:b/>
              <w:sz w:val="22"/>
              <w:szCs w:val="22"/>
            </w:rPr>
            <w:t>Onaylayan</w:t>
          </w:r>
          <w:proofErr w:type="spellEnd"/>
        </w:p>
        <w:p w14:paraId="0AC7CD28" w14:textId="77777777" w:rsidR="00D17E25" w:rsidRPr="002C0635" w:rsidRDefault="007F50F7" w:rsidP="00151ABA">
          <w:pPr>
            <w:pBdr>
              <w:top w:val="nil"/>
              <w:left w:val="nil"/>
              <w:bottom w:val="nil"/>
              <w:right w:val="nil"/>
              <w:between w:val="nil"/>
            </w:pBdr>
            <w:tabs>
              <w:tab w:val="center" w:pos="4536"/>
              <w:tab w:val="right" w:pos="9072"/>
            </w:tabs>
            <w:jc w:val="center"/>
            <w:rPr>
              <w:rFonts w:eastAsia="Cambria"/>
              <w:sz w:val="22"/>
              <w:szCs w:val="22"/>
            </w:rPr>
          </w:pPr>
          <w:r w:rsidRPr="002C0635">
            <w:rPr>
              <w:rFonts w:eastAsia="Cambria"/>
              <w:sz w:val="22"/>
              <w:szCs w:val="22"/>
            </w:rPr>
            <w:t xml:space="preserve">KASGEM </w:t>
          </w:r>
        </w:p>
        <w:p w14:paraId="2E162DB5"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
      </w:tc>
    </w:tr>
  </w:tbl>
  <w:p w14:paraId="0561AF83"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F7D7" w14:textId="77777777" w:rsidR="00BC4E8A" w:rsidRDefault="00BC4E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03AA" w14:textId="77777777" w:rsidR="002A65C3" w:rsidRDefault="002A65C3" w:rsidP="00FF08A6">
      <w:r>
        <w:separator/>
      </w:r>
    </w:p>
  </w:footnote>
  <w:footnote w:type="continuationSeparator" w:id="0">
    <w:p w14:paraId="4F0671F0" w14:textId="77777777" w:rsidR="002A65C3" w:rsidRDefault="002A65C3" w:rsidP="00FF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A713" w14:textId="77777777" w:rsidR="00BC4E8A" w:rsidRDefault="00BC4E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18"/>
      <w:gridCol w:w="4893"/>
      <w:gridCol w:w="1743"/>
      <w:gridCol w:w="1485"/>
    </w:tblGrid>
    <w:tr w:rsidR="003528CF" w:rsidRPr="00BC4E8A" w14:paraId="5E0C9091" w14:textId="77777777" w:rsidTr="00547F21">
      <w:trPr>
        <w:trHeight w:hRule="exact" w:val="284"/>
        <w:jc w:val="center"/>
      </w:trPr>
      <w:tc>
        <w:tcPr>
          <w:tcW w:w="1560" w:type="dxa"/>
          <w:vMerge w:val="restart"/>
          <w:vAlign w:val="center"/>
        </w:tcPr>
        <w:p w14:paraId="5A602A14" w14:textId="77777777" w:rsidR="00FF08A6" w:rsidRPr="00BC4E8A" w:rsidRDefault="0068274F" w:rsidP="00A4726D">
          <w:pPr>
            <w:jc w:val="right"/>
            <w:rPr>
              <w:rFonts w:eastAsia="Cambria"/>
              <w:sz w:val="22"/>
              <w:szCs w:val="22"/>
            </w:rPr>
          </w:pPr>
          <w:r w:rsidRPr="00BC4E8A">
            <w:rPr>
              <w:rFonts w:eastAsia="Cambria"/>
              <w:sz w:val="22"/>
              <w:szCs w:val="22"/>
            </w:rPr>
            <w:object w:dxaOrig="6637" w:dyaOrig="5688" w14:anchorId="6FF94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aint.Picture" ShapeID="_x0000_i1025" DrawAspect="Content" ObjectID="_1705579709" r:id="rId2"/>
            </w:object>
          </w:r>
          <w:r w:rsidR="00A4726D" w:rsidRPr="00BC4E8A">
            <w:rPr>
              <w:rFonts w:eastAsia="Cambria"/>
              <w:sz w:val="22"/>
              <w:szCs w:val="22"/>
            </w:rPr>
            <w:t xml:space="preserve"> </w:t>
          </w:r>
        </w:p>
      </w:tc>
      <w:tc>
        <w:tcPr>
          <w:tcW w:w="5045" w:type="dxa"/>
          <w:vMerge w:val="restart"/>
          <w:tcBorders>
            <w:bottom w:val="single" w:sz="4" w:space="0" w:color="auto"/>
          </w:tcBorders>
          <w:vAlign w:val="center"/>
        </w:tcPr>
        <w:p w14:paraId="3BC411F1" w14:textId="6BF12C08" w:rsidR="00FC7DC0" w:rsidRPr="00BC4E8A" w:rsidRDefault="00FC7DC0">
          <w:pPr>
            <w:rPr>
              <w:sz w:val="22"/>
              <w:szCs w:val="22"/>
            </w:rPr>
          </w:pPr>
        </w:p>
        <w:p w14:paraId="1E3314D0" w14:textId="77777777" w:rsidR="00FC7DC0" w:rsidRPr="00BC4E8A" w:rsidRDefault="00FC7DC0">
          <w:pPr>
            <w:rPr>
              <w:sz w:val="22"/>
              <w:szCs w:val="22"/>
            </w:rPr>
          </w:pPr>
        </w:p>
        <w:tbl>
          <w:tblPr>
            <w:tblW w:w="4736" w:type="dxa"/>
            <w:jc w:val="center"/>
            <w:tblLayout w:type="fixed"/>
            <w:tblCellMar>
              <w:top w:w="15" w:type="dxa"/>
              <w:left w:w="15" w:type="dxa"/>
              <w:bottom w:w="15" w:type="dxa"/>
              <w:right w:w="15" w:type="dxa"/>
            </w:tblCellMar>
            <w:tblLook w:val="04A0" w:firstRow="1" w:lastRow="0" w:firstColumn="1" w:lastColumn="0" w:noHBand="0" w:noVBand="1"/>
          </w:tblPr>
          <w:tblGrid>
            <w:gridCol w:w="4736"/>
          </w:tblGrid>
          <w:tr w:rsidR="005F50D6" w:rsidRPr="00BC4E8A" w14:paraId="5C87FCB6" w14:textId="77777777" w:rsidTr="00FC7DC0">
            <w:trPr>
              <w:trHeight w:val="433"/>
              <w:jc w:val="center"/>
            </w:trPr>
            <w:tc>
              <w:tcPr>
                <w:tcW w:w="4736" w:type="dxa"/>
                <w:vMerge w:val="restart"/>
                <w:tcMar>
                  <w:top w:w="0" w:type="dxa"/>
                  <w:left w:w="108" w:type="dxa"/>
                  <w:bottom w:w="0" w:type="dxa"/>
                  <w:right w:w="108" w:type="dxa"/>
                </w:tcMar>
                <w:hideMark/>
              </w:tcPr>
              <w:p w14:paraId="363B32DC" w14:textId="77777777" w:rsidR="00A35A6E" w:rsidRPr="00BC4E8A" w:rsidRDefault="00A35A6E" w:rsidP="00A35A6E">
                <w:pPr>
                  <w:spacing w:line="276" w:lineRule="auto"/>
                  <w:jc w:val="center"/>
                  <w:rPr>
                    <w:rFonts w:eastAsia="Calibri"/>
                    <w:b/>
                    <w:bCs/>
                    <w:sz w:val="22"/>
                    <w:szCs w:val="22"/>
                    <w:lang w:val="tr-TR"/>
                  </w:rPr>
                </w:pPr>
                <w:r w:rsidRPr="00BC4E8A">
                  <w:rPr>
                    <w:rFonts w:eastAsia="Calibri"/>
                    <w:b/>
                    <w:bCs/>
                    <w:sz w:val="22"/>
                    <w:szCs w:val="22"/>
                    <w:lang w:val="tr-TR"/>
                  </w:rPr>
                  <w:t>BİLGİ İŞLEM DAİRE BAŞKANLIĞI</w:t>
                </w:r>
              </w:p>
              <w:p w14:paraId="181AE37D" w14:textId="77777777" w:rsidR="00A35A6E" w:rsidRPr="00BC4E8A" w:rsidRDefault="00A35A6E" w:rsidP="00A35A6E">
                <w:pPr>
                  <w:spacing w:line="276" w:lineRule="auto"/>
                  <w:jc w:val="center"/>
                  <w:rPr>
                    <w:rFonts w:eastAsia="Calibri"/>
                    <w:b/>
                    <w:bCs/>
                    <w:sz w:val="22"/>
                    <w:szCs w:val="22"/>
                    <w:lang w:val="tr-TR"/>
                  </w:rPr>
                </w:pPr>
                <w:r w:rsidRPr="00BC4E8A">
                  <w:rPr>
                    <w:rFonts w:eastAsia="Calibri"/>
                    <w:b/>
                    <w:bCs/>
                    <w:sz w:val="22"/>
                    <w:szCs w:val="22"/>
                    <w:lang w:val="tr-TR"/>
                  </w:rPr>
                  <w:t xml:space="preserve"> ŞUBE MÜDÜRÜ </w:t>
                </w:r>
              </w:p>
              <w:p w14:paraId="5A95E369" w14:textId="77777777" w:rsidR="00A35A6E" w:rsidRPr="00BC4E8A" w:rsidRDefault="00A35A6E" w:rsidP="00A35A6E">
                <w:pPr>
                  <w:spacing w:line="276" w:lineRule="auto"/>
                  <w:jc w:val="center"/>
                  <w:rPr>
                    <w:rFonts w:eastAsia="Calibri"/>
                    <w:b/>
                    <w:sz w:val="22"/>
                    <w:szCs w:val="22"/>
                    <w:lang w:val="tr-TR"/>
                  </w:rPr>
                </w:pPr>
                <w:r w:rsidRPr="00BC4E8A">
                  <w:rPr>
                    <w:rFonts w:eastAsia="Calibri"/>
                    <w:b/>
                    <w:bCs/>
                    <w:sz w:val="22"/>
                    <w:szCs w:val="22"/>
                    <w:lang w:val="tr-TR"/>
                  </w:rPr>
                  <w:t>GÖREV TANIMI</w:t>
                </w:r>
              </w:p>
              <w:p w14:paraId="43422B68" w14:textId="77777777" w:rsidR="005F50D6" w:rsidRPr="00BC4E8A" w:rsidRDefault="005F50D6" w:rsidP="00B46380">
                <w:pPr>
                  <w:spacing w:line="276" w:lineRule="auto"/>
                  <w:jc w:val="center"/>
                  <w:rPr>
                    <w:rFonts w:eastAsia="Calibri"/>
                    <w:b/>
                    <w:color w:val="323E4F"/>
                    <w:sz w:val="22"/>
                    <w:szCs w:val="22"/>
                    <w:lang w:val="tr-TR"/>
                  </w:rPr>
                </w:pPr>
              </w:p>
            </w:tc>
          </w:tr>
          <w:tr w:rsidR="005F50D6" w:rsidRPr="00BC4E8A" w14:paraId="7F578ED7" w14:textId="77777777" w:rsidTr="00FC7DC0">
            <w:trPr>
              <w:trHeight w:val="433"/>
              <w:jc w:val="center"/>
            </w:trPr>
            <w:tc>
              <w:tcPr>
                <w:tcW w:w="4736" w:type="dxa"/>
                <w:vMerge/>
                <w:vAlign w:val="center"/>
                <w:hideMark/>
              </w:tcPr>
              <w:p w14:paraId="67F6BA57" w14:textId="77777777" w:rsidR="005F50D6" w:rsidRPr="00BC4E8A" w:rsidRDefault="005F50D6" w:rsidP="005F50D6">
                <w:pPr>
                  <w:spacing w:line="276" w:lineRule="auto"/>
                  <w:rPr>
                    <w:rFonts w:eastAsia="Calibri"/>
                    <w:b/>
                    <w:color w:val="323E4F"/>
                    <w:sz w:val="22"/>
                    <w:szCs w:val="22"/>
                    <w:lang w:val="tr-TR"/>
                  </w:rPr>
                </w:pPr>
              </w:p>
            </w:tc>
          </w:tr>
          <w:tr w:rsidR="005F50D6" w:rsidRPr="00BC4E8A" w14:paraId="44812664" w14:textId="77777777" w:rsidTr="00FC7DC0">
            <w:trPr>
              <w:trHeight w:val="433"/>
              <w:jc w:val="center"/>
            </w:trPr>
            <w:tc>
              <w:tcPr>
                <w:tcW w:w="4736" w:type="dxa"/>
                <w:vMerge/>
                <w:vAlign w:val="center"/>
                <w:hideMark/>
              </w:tcPr>
              <w:p w14:paraId="5D0FDC3E" w14:textId="77777777" w:rsidR="005F50D6" w:rsidRPr="00BC4E8A" w:rsidRDefault="005F50D6" w:rsidP="005F50D6">
                <w:pPr>
                  <w:spacing w:line="276" w:lineRule="auto"/>
                  <w:rPr>
                    <w:rFonts w:eastAsia="Calibri"/>
                    <w:b/>
                    <w:color w:val="323E4F"/>
                    <w:sz w:val="22"/>
                    <w:szCs w:val="22"/>
                    <w:lang w:val="tr-TR"/>
                  </w:rPr>
                </w:pPr>
              </w:p>
            </w:tc>
          </w:tr>
          <w:tr w:rsidR="005F50D6" w:rsidRPr="00BC4E8A" w14:paraId="137FAAC0" w14:textId="77777777" w:rsidTr="00FC7DC0">
            <w:trPr>
              <w:trHeight w:val="433"/>
              <w:jc w:val="center"/>
            </w:trPr>
            <w:tc>
              <w:tcPr>
                <w:tcW w:w="4736" w:type="dxa"/>
                <w:vMerge/>
                <w:vAlign w:val="center"/>
                <w:hideMark/>
              </w:tcPr>
              <w:p w14:paraId="29AAAB70" w14:textId="77777777" w:rsidR="005F50D6" w:rsidRPr="00BC4E8A" w:rsidRDefault="005F50D6" w:rsidP="005F50D6">
                <w:pPr>
                  <w:spacing w:line="276" w:lineRule="auto"/>
                  <w:rPr>
                    <w:rFonts w:eastAsia="Calibri"/>
                    <w:b/>
                    <w:color w:val="323E4F"/>
                    <w:sz w:val="22"/>
                    <w:szCs w:val="22"/>
                    <w:lang w:val="tr-TR"/>
                  </w:rPr>
                </w:pPr>
              </w:p>
            </w:tc>
          </w:tr>
          <w:tr w:rsidR="005F50D6" w:rsidRPr="00BC4E8A" w14:paraId="0A1F6C1D" w14:textId="77777777" w:rsidTr="00FC7DC0">
            <w:trPr>
              <w:trHeight w:val="433"/>
              <w:jc w:val="center"/>
            </w:trPr>
            <w:tc>
              <w:tcPr>
                <w:tcW w:w="4736" w:type="dxa"/>
                <w:vMerge/>
                <w:vAlign w:val="center"/>
                <w:hideMark/>
              </w:tcPr>
              <w:p w14:paraId="23C65108" w14:textId="77777777" w:rsidR="005F50D6" w:rsidRPr="00BC4E8A" w:rsidRDefault="005F50D6" w:rsidP="005F50D6">
                <w:pPr>
                  <w:spacing w:line="276" w:lineRule="auto"/>
                  <w:rPr>
                    <w:rFonts w:eastAsia="Calibri"/>
                    <w:b/>
                    <w:color w:val="323E4F"/>
                    <w:sz w:val="22"/>
                    <w:szCs w:val="22"/>
                    <w:lang w:val="tr-TR"/>
                  </w:rPr>
                </w:pPr>
              </w:p>
            </w:tc>
          </w:tr>
        </w:tbl>
        <w:p w14:paraId="72833D98" w14:textId="77777777" w:rsidR="00AE7B0D" w:rsidRPr="00BC4E8A" w:rsidRDefault="00AE7B0D" w:rsidP="007F50F7">
          <w:pPr>
            <w:spacing w:line="276" w:lineRule="auto"/>
            <w:rPr>
              <w:rFonts w:eastAsia="Calibri"/>
              <w:b/>
              <w:color w:val="323E4F"/>
              <w:sz w:val="22"/>
              <w:szCs w:val="22"/>
            </w:rPr>
          </w:pPr>
        </w:p>
        <w:p w14:paraId="2FDEDEBD" w14:textId="77777777" w:rsidR="00AE7B0D" w:rsidRPr="00BC4E8A" w:rsidRDefault="00AE7B0D" w:rsidP="00AE7B0D">
          <w:pPr>
            <w:spacing w:line="276" w:lineRule="auto"/>
            <w:jc w:val="center"/>
            <w:rPr>
              <w:b/>
              <w:sz w:val="22"/>
              <w:szCs w:val="22"/>
            </w:rPr>
          </w:pPr>
        </w:p>
        <w:p w14:paraId="1413CF81" w14:textId="77777777" w:rsidR="00AE7B0D" w:rsidRPr="00BC4E8A" w:rsidRDefault="00AE7B0D" w:rsidP="00AE7B0D">
          <w:pPr>
            <w:spacing w:line="276" w:lineRule="auto"/>
            <w:jc w:val="center"/>
            <w:rPr>
              <w:b/>
              <w:sz w:val="22"/>
              <w:szCs w:val="22"/>
            </w:rPr>
          </w:pPr>
        </w:p>
        <w:p w14:paraId="570C4F58" w14:textId="77777777" w:rsidR="00AE7B0D" w:rsidRPr="00BC4E8A" w:rsidRDefault="00AE7B0D" w:rsidP="00AE7B0D">
          <w:pPr>
            <w:spacing w:line="276" w:lineRule="auto"/>
            <w:jc w:val="center"/>
            <w:rPr>
              <w:b/>
              <w:sz w:val="22"/>
              <w:szCs w:val="22"/>
            </w:rPr>
          </w:pPr>
        </w:p>
        <w:p w14:paraId="0E4CC7C0" w14:textId="77777777" w:rsidR="00AE7B0D" w:rsidRPr="00BC4E8A" w:rsidRDefault="00AE7B0D" w:rsidP="00AE7B0D">
          <w:pPr>
            <w:spacing w:line="276" w:lineRule="auto"/>
            <w:jc w:val="center"/>
            <w:rPr>
              <w:b/>
              <w:sz w:val="22"/>
              <w:szCs w:val="22"/>
            </w:rPr>
          </w:pPr>
        </w:p>
        <w:p w14:paraId="3297CFFE" w14:textId="77777777" w:rsidR="00FF08A6" w:rsidRPr="00BC4E8A" w:rsidRDefault="00FF08A6" w:rsidP="00A4726D">
          <w:pPr>
            <w:spacing w:line="276" w:lineRule="auto"/>
            <w:jc w:val="center"/>
            <w:rPr>
              <w:b/>
              <w:sz w:val="22"/>
              <w:szCs w:val="22"/>
            </w:rPr>
          </w:pPr>
        </w:p>
      </w:tc>
      <w:tc>
        <w:tcPr>
          <w:tcW w:w="1792" w:type="dxa"/>
          <w:vAlign w:val="center"/>
        </w:tcPr>
        <w:p w14:paraId="05130271" w14:textId="77777777" w:rsidR="00FF08A6" w:rsidRPr="00BC4E8A" w:rsidRDefault="00FF08A6" w:rsidP="00FF08A6">
          <w:pPr>
            <w:rPr>
              <w:sz w:val="22"/>
              <w:szCs w:val="22"/>
            </w:rPr>
          </w:pPr>
          <w:proofErr w:type="spellStart"/>
          <w:r w:rsidRPr="00BC4E8A">
            <w:rPr>
              <w:sz w:val="22"/>
              <w:szCs w:val="22"/>
            </w:rPr>
            <w:t>Doküman</w:t>
          </w:r>
          <w:proofErr w:type="spellEnd"/>
          <w:r w:rsidRPr="00BC4E8A">
            <w:rPr>
              <w:sz w:val="22"/>
              <w:szCs w:val="22"/>
            </w:rPr>
            <w:t xml:space="preserve"> No</w:t>
          </w:r>
        </w:p>
      </w:tc>
      <w:tc>
        <w:tcPr>
          <w:tcW w:w="1526" w:type="dxa"/>
          <w:vAlign w:val="center"/>
        </w:tcPr>
        <w:p w14:paraId="4551613F" w14:textId="1096DD8D" w:rsidR="00FF08A6" w:rsidRPr="00BC4E8A" w:rsidRDefault="002C0635" w:rsidP="00FF08A6">
          <w:pPr>
            <w:rPr>
              <w:sz w:val="22"/>
              <w:szCs w:val="22"/>
            </w:rPr>
          </w:pPr>
          <w:r w:rsidRPr="00BC4E8A">
            <w:rPr>
              <w:sz w:val="22"/>
              <w:szCs w:val="22"/>
            </w:rPr>
            <w:t>GT</w:t>
          </w:r>
          <w:r w:rsidR="00FF08A6" w:rsidRPr="00BC4E8A">
            <w:rPr>
              <w:sz w:val="22"/>
              <w:szCs w:val="22"/>
            </w:rPr>
            <w:t>-</w:t>
          </w:r>
          <w:r w:rsidR="00FC7DC0" w:rsidRPr="00BC4E8A">
            <w:rPr>
              <w:sz w:val="22"/>
              <w:szCs w:val="22"/>
            </w:rPr>
            <w:t>139</w:t>
          </w:r>
        </w:p>
      </w:tc>
    </w:tr>
    <w:tr w:rsidR="003528CF" w:rsidRPr="00BC4E8A" w14:paraId="7C310B28" w14:textId="77777777" w:rsidTr="00547F21">
      <w:trPr>
        <w:trHeight w:hRule="exact" w:val="284"/>
        <w:jc w:val="center"/>
      </w:trPr>
      <w:tc>
        <w:tcPr>
          <w:tcW w:w="1560" w:type="dxa"/>
          <w:vMerge/>
          <w:vAlign w:val="center"/>
        </w:tcPr>
        <w:p w14:paraId="2312ECFC"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281A3F03"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11F02A2A" w14:textId="77777777" w:rsidR="00FF08A6" w:rsidRPr="00BC4E8A" w:rsidRDefault="00FF08A6" w:rsidP="00FF08A6">
          <w:pPr>
            <w:rPr>
              <w:sz w:val="22"/>
              <w:szCs w:val="22"/>
            </w:rPr>
          </w:pPr>
          <w:r w:rsidRPr="00BC4E8A">
            <w:rPr>
              <w:sz w:val="22"/>
              <w:szCs w:val="22"/>
            </w:rPr>
            <w:t xml:space="preserve">İlk </w:t>
          </w:r>
          <w:proofErr w:type="spellStart"/>
          <w:r w:rsidRPr="00BC4E8A">
            <w:rPr>
              <w:sz w:val="22"/>
              <w:szCs w:val="22"/>
            </w:rPr>
            <w:t>Yayın</w:t>
          </w:r>
          <w:proofErr w:type="spellEnd"/>
          <w:r w:rsidRPr="00BC4E8A">
            <w:rPr>
              <w:sz w:val="22"/>
              <w:szCs w:val="22"/>
            </w:rPr>
            <w:t xml:space="preserve"> </w:t>
          </w:r>
          <w:proofErr w:type="spellStart"/>
          <w:r w:rsidRPr="00BC4E8A">
            <w:rPr>
              <w:sz w:val="22"/>
              <w:szCs w:val="22"/>
            </w:rPr>
            <w:t>Tarihi</w:t>
          </w:r>
          <w:proofErr w:type="spellEnd"/>
        </w:p>
      </w:tc>
      <w:tc>
        <w:tcPr>
          <w:tcW w:w="1526" w:type="dxa"/>
          <w:vAlign w:val="center"/>
        </w:tcPr>
        <w:p w14:paraId="458E3917" w14:textId="74AF2258" w:rsidR="00FF08A6" w:rsidRPr="00BC4E8A" w:rsidRDefault="00BC4E8A" w:rsidP="00FF08A6">
          <w:pPr>
            <w:rPr>
              <w:sz w:val="22"/>
              <w:szCs w:val="22"/>
            </w:rPr>
          </w:pPr>
          <w:r w:rsidRPr="00BC4E8A">
            <w:rPr>
              <w:sz w:val="22"/>
              <w:szCs w:val="22"/>
            </w:rPr>
            <w:t>8/02/2022</w:t>
          </w:r>
        </w:p>
      </w:tc>
    </w:tr>
    <w:tr w:rsidR="003528CF" w:rsidRPr="00BC4E8A" w14:paraId="77BD1733" w14:textId="77777777" w:rsidTr="00547F21">
      <w:trPr>
        <w:trHeight w:hRule="exact" w:val="284"/>
        <w:jc w:val="center"/>
      </w:trPr>
      <w:tc>
        <w:tcPr>
          <w:tcW w:w="1560" w:type="dxa"/>
          <w:vMerge/>
          <w:vAlign w:val="center"/>
        </w:tcPr>
        <w:p w14:paraId="0085FBA4"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2F136AAB"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16EFDC6B" w14:textId="77777777" w:rsidR="00FF08A6" w:rsidRPr="00BC4E8A" w:rsidRDefault="00FF08A6" w:rsidP="00FF08A6">
          <w:pPr>
            <w:rPr>
              <w:sz w:val="22"/>
              <w:szCs w:val="22"/>
            </w:rPr>
          </w:pPr>
          <w:proofErr w:type="spellStart"/>
          <w:r w:rsidRPr="00BC4E8A">
            <w:rPr>
              <w:sz w:val="22"/>
              <w:szCs w:val="22"/>
            </w:rPr>
            <w:t>Revizyon</w:t>
          </w:r>
          <w:proofErr w:type="spellEnd"/>
          <w:r w:rsidRPr="00BC4E8A">
            <w:rPr>
              <w:sz w:val="22"/>
              <w:szCs w:val="22"/>
            </w:rPr>
            <w:t xml:space="preserve"> </w:t>
          </w:r>
          <w:proofErr w:type="spellStart"/>
          <w:r w:rsidRPr="00BC4E8A">
            <w:rPr>
              <w:sz w:val="22"/>
              <w:szCs w:val="22"/>
            </w:rPr>
            <w:t>Tarihi</w:t>
          </w:r>
          <w:proofErr w:type="spellEnd"/>
        </w:p>
      </w:tc>
      <w:tc>
        <w:tcPr>
          <w:tcW w:w="1526" w:type="dxa"/>
          <w:vAlign w:val="center"/>
        </w:tcPr>
        <w:p w14:paraId="0AE7BFFE" w14:textId="77777777" w:rsidR="00FF08A6" w:rsidRPr="00BC4E8A" w:rsidRDefault="00FF08A6" w:rsidP="00FF08A6">
          <w:pPr>
            <w:rPr>
              <w:sz w:val="22"/>
              <w:szCs w:val="22"/>
            </w:rPr>
          </w:pPr>
          <w:r w:rsidRPr="00BC4E8A">
            <w:rPr>
              <w:sz w:val="22"/>
              <w:szCs w:val="22"/>
            </w:rPr>
            <w:t>-</w:t>
          </w:r>
        </w:p>
      </w:tc>
    </w:tr>
    <w:tr w:rsidR="003528CF" w:rsidRPr="00BC4E8A" w14:paraId="4C7D120C" w14:textId="77777777" w:rsidTr="00547F21">
      <w:trPr>
        <w:trHeight w:hRule="exact" w:val="284"/>
        <w:jc w:val="center"/>
      </w:trPr>
      <w:tc>
        <w:tcPr>
          <w:tcW w:w="1560" w:type="dxa"/>
          <w:vMerge/>
          <w:vAlign w:val="center"/>
        </w:tcPr>
        <w:p w14:paraId="2C2FF042"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4620E56C"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770E4B14" w14:textId="77777777" w:rsidR="00FF08A6" w:rsidRPr="00BC4E8A" w:rsidRDefault="00FF08A6" w:rsidP="00FF08A6">
          <w:pPr>
            <w:rPr>
              <w:sz w:val="22"/>
              <w:szCs w:val="22"/>
            </w:rPr>
          </w:pPr>
          <w:proofErr w:type="spellStart"/>
          <w:r w:rsidRPr="00BC4E8A">
            <w:rPr>
              <w:sz w:val="22"/>
              <w:szCs w:val="22"/>
            </w:rPr>
            <w:t>Revizyon</w:t>
          </w:r>
          <w:proofErr w:type="spellEnd"/>
          <w:r w:rsidRPr="00BC4E8A">
            <w:rPr>
              <w:sz w:val="22"/>
              <w:szCs w:val="22"/>
            </w:rPr>
            <w:t xml:space="preserve"> No</w:t>
          </w:r>
        </w:p>
      </w:tc>
      <w:tc>
        <w:tcPr>
          <w:tcW w:w="1526" w:type="dxa"/>
          <w:vAlign w:val="center"/>
        </w:tcPr>
        <w:p w14:paraId="7A633F37" w14:textId="77777777" w:rsidR="00FF08A6" w:rsidRPr="00BC4E8A" w:rsidRDefault="007F50F7" w:rsidP="00FF08A6">
          <w:pPr>
            <w:rPr>
              <w:sz w:val="22"/>
              <w:szCs w:val="22"/>
            </w:rPr>
          </w:pPr>
          <w:r w:rsidRPr="00BC4E8A">
            <w:rPr>
              <w:sz w:val="22"/>
              <w:szCs w:val="22"/>
            </w:rPr>
            <w:t>0</w:t>
          </w:r>
        </w:p>
      </w:tc>
    </w:tr>
    <w:tr w:rsidR="003528CF" w:rsidRPr="00BC4E8A" w14:paraId="74771DBA" w14:textId="77777777" w:rsidTr="00547F21">
      <w:trPr>
        <w:trHeight w:hRule="exact" w:val="284"/>
        <w:jc w:val="center"/>
      </w:trPr>
      <w:tc>
        <w:tcPr>
          <w:tcW w:w="1560" w:type="dxa"/>
          <w:vMerge/>
          <w:vAlign w:val="center"/>
        </w:tcPr>
        <w:p w14:paraId="752A33F1"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tcBorders>
          <w:vAlign w:val="center"/>
        </w:tcPr>
        <w:p w14:paraId="6F179FBB" w14:textId="77777777" w:rsidR="00FF08A6" w:rsidRPr="00BC4E8A"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7857BA72" w14:textId="77777777" w:rsidR="00FF08A6" w:rsidRPr="00BC4E8A" w:rsidRDefault="00FF08A6" w:rsidP="00FF08A6">
          <w:pPr>
            <w:rPr>
              <w:sz w:val="22"/>
              <w:szCs w:val="22"/>
            </w:rPr>
          </w:pPr>
          <w:proofErr w:type="spellStart"/>
          <w:r w:rsidRPr="00BC4E8A">
            <w:rPr>
              <w:sz w:val="22"/>
              <w:szCs w:val="22"/>
            </w:rPr>
            <w:t>Sayfa</w:t>
          </w:r>
          <w:proofErr w:type="spellEnd"/>
          <w:r w:rsidRPr="00BC4E8A">
            <w:rPr>
              <w:sz w:val="22"/>
              <w:szCs w:val="22"/>
            </w:rPr>
            <w:t xml:space="preserve"> No</w:t>
          </w:r>
        </w:p>
      </w:tc>
      <w:tc>
        <w:tcPr>
          <w:tcW w:w="1526" w:type="dxa"/>
          <w:vAlign w:val="center"/>
        </w:tcPr>
        <w:p w14:paraId="5898AECF" w14:textId="77777777" w:rsidR="00FF08A6" w:rsidRPr="00BC4E8A" w:rsidRDefault="00A17639" w:rsidP="00FF08A6">
          <w:pPr>
            <w:rPr>
              <w:sz w:val="22"/>
              <w:szCs w:val="22"/>
            </w:rPr>
          </w:pPr>
          <w:r w:rsidRPr="00BC4E8A">
            <w:rPr>
              <w:sz w:val="22"/>
              <w:szCs w:val="22"/>
            </w:rPr>
            <w:fldChar w:fldCharType="begin"/>
          </w:r>
          <w:r w:rsidRPr="00BC4E8A">
            <w:rPr>
              <w:sz w:val="22"/>
              <w:szCs w:val="22"/>
            </w:rPr>
            <w:instrText xml:space="preserve"> PAGE   \* MERGEFORMAT </w:instrText>
          </w:r>
          <w:r w:rsidRPr="00BC4E8A">
            <w:rPr>
              <w:sz w:val="22"/>
              <w:szCs w:val="22"/>
            </w:rPr>
            <w:fldChar w:fldCharType="separate"/>
          </w:r>
          <w:r w:rsidRPr="00BC4E8A">
            <w:rPr>
              <w:noProof/>
              <w:sz w:val="22"/>
              <w:szCs w:val="22"/>
            </w:rPr>
            <w:t>1</w:t>
          </w:r>
          <w:r w:rsidRPr="00BC4E8A">
            <w:rPr>
              <w:sz w:val="22"/>
              <w:szCs w:val="22"/>
            </w:rPr>
            <w:fldChar w:fldCharType="end"/>
          </w:r>
          <w:r w:rsidRPr="00BC4E8A">
            <w:rPr>
              <w:sz w:val="22"/>
              <w:szCs w:val="22"/>
            </w:rPr>
            <w:t>/2</w:t>
          </w:r>
        </w:p>
      </w:tc>
    </w:tr>
  </w:tbl>
  <w:p w14:paraId="18BC634E"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CB9C" w14:textId="77777777" w:rsidR="00BC4E8A" w:rsidRDefault="00BC4E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3B5C"/>
    <w:multiLevelType w:val="hybridMultilevel"/>
    <w:tmpl w:val="FBB63C5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27315D2"/>
    <w:multiLevelType w:val="hybridMultilevel"/>
    <w:tmpl w:val="9E3E1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63071"/>
    <w:rsid w:val="000918D2"/>
    <w:rsid w:val="00151ABA"/>
    <w:rsid w:val="00152DAF"/>
    <w:rsid w:val="002754A0"/>
    <w:rsid w:val="002A65C3"/>
    <w:rsid w:val="002C0635"/>
    <w:rsid w:val="002E5890"/>
    <w:rsid w:val="00336BDC"/>
    <w:rsid w:val="003528CF"/>
    <w:rsid w:val="00367FFC"/>
    <w:rsid w:val="003D0F6C"/>
    <w:rsid w:val="00411010"/>
    <w:rsid w:val="00431D31"/>
    <w:rsid w:val="0048082B"/>
    <w:rsid w:val="005433B4"/>
    <w:rsid w:val="00547F21"/>
    <w:rsid w:val="00554A93"/>
    <w:rsid w:val="005761A9"/>
    <w:rsid w:val="005F50D6"/>
    <w:rsid w:val="00607331"/>
    <w:rsid w:val="006167D9"/>
    <w:rsid w:val="0068274F"/>
    <w:rsid w:val="006D67AC"/>
    <w:rsid w:val="007D48AB"/>
    <w:rsid w:val="007D5976"/>
    <w:rsid w:val="007F50F7"/>
    <w:rsid w:val="008E3FF8"/>
    <w:rsid w:val="008E4B99"/>
    <w:rsid w:val="0094687A"/>
    <w:rsid w:val="00961464"/>
    <w:rsid w:val="00A17639"/>
    <w:rsid w:val="00A27661"/>
    <w:rsid w:val="00A33119"/>
    <w:rsid w:val="00A331EF"/>
    <w:rsid w:val="00A35A6E"/>
    <w:rsid w:val="00A4726D"/>
    <w:rsid w:val="00AC62D1"/>
    <w:rsid w:val="00AE7B0D"/>
    <w:rsid w:val="00B46380"/>
    <w:rsid w:val="00B63D44"/>
    <w:rsid w:val="00BC4E8A"/>
    <w:rsid w:val="00BD2C6B"/>
    <w:rsid w:val="00C7119C"/>
    <w:rsid w:val="00D16C4B"/>
    <w:rsid w:val="00D17E25"/>
    <w:rsid w:val="00E25097"/>
    <w:rsid w:val="00E40382"/>
    <w:rsid w:val="00EE0C78"/>
    <w:rsid w:val="00F40666"/>
    <w:rsid w:val="00F60628"/>
    <w:rsid w:val="00F63DD7"/>
    <w:rsid w:val="00FB0EEA"/>
    <w:rsid w:val="00FC7DC0"/>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C8023"/>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0D"/>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06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F50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5A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9566">
      <w:bodyDiv w:val="1"/>
      <w:marLeft w:val="0"/>
      <w:marRight w:val="0"/>
      <w:marTop w:val="0"/>
      <w:marBottom w:val="0"/>
      <w:divBdr>
        <w:top w:val="none" w:sz="0" w:space="0" w:color="auto"/>
        <w:left w:val="none" w:sz="0" w:space="0" w:color="auto"/>
        <w:bottom w:val="none" w:sz="0" w:space="0" w:color="auto"/>
        <w:right w:val="none" w:sz="0" w:space="0" w:color="auto"/>
      </w:divBdr>
    </w:div>
    <w:div w:id="1172330140">
      <w:bodyDiv w:val="1"/>
      <w:marLeft w:val="0"/>
      <w:marRight w:val="0"/>
      <w:marTop w:val="0"/>
      <w:marBottom w:val="0"/>
      <w:divBdr>
        <w:top w:val="none" w:sz="0" w:space="0" w:color="auto"/>
        <w:left w:val="none" w:sz="0" w:space="0" w:color="auto"/>
        <w:bottom w:val="none" w:sz="0" w:space="0" w:color="auto"/>
        <w:right w:val="none" w:sz="0" w:space="0" w:color="auto"/>
      </w:divBdr>
    </w:div>
    <w:div w:id="1914004216">
      <w:bodyDiv w:val="1"/>
      <w:marLeft w:val="0"/>
      <w:marRight w:val="0"/>
      <w:marTop w:val="0"/>
      <w:marBottom w:val="0"/>
      <w:divBdr>
        <w:top w:val="none" w:sz="0" w:space="0" w:color="auto"/>
        <w:left w:val="none" w:sz="0" w:space="0" w:color="auto"/>
        <w:bottom w:val="none" w:sz="0" w:space="0" w:color="auto"/>
        <w:right w:val="none" w:sz="0" w:space="0" w:color="auto"/>
      </w:divBdr>
    </w:div>
    <w:div w:id="19791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EA1D-E5CB-4F61-B5DE-8C91D755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2022-01-23T22:07:00Z</dcterms:created>
  <dcterms:modified xsi:type="dcterms:W3CDTF">2022-02-05T12:22:00Z</dcterms:modified>
</cp:coreProperties>
</file>